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226B" w14:textId="48C09485" w:rsidR="00833705" w:rsidRPr="00C33999" w:rsidRDefault="00833705" w:rsidP="00833705">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center"/>
        <w:rPr>
          <w:rFonts w:ascii="Cambria" w:eastAsia="Calibri" w:hAnsi="Cambria" w:cs="Calibri"/>
          <w:b/>
          <w:color w:val="0000FF"/>
          <w:kern w:val="0"/>
          <w:sz w:val="32"/>
          <w:szCs w:val="32"/>
          <w:u w:val="single"/>
          <w14:ligatures w14:val="none"/>
        </w:rPr>
      </w:pPr>
      <w:r w:rsidRPr="00C33999">
        <w:rPr>
          <w:rFonts w:ascii="Cambria" w:eastAsia="Calibri" w:hAnsi="Cambria" w:cs="Calibri"/>
          <w:b/>
          <w:color w:val="0000FF"/>
          <w:kern w:val="0"/>
          <w:sz w:val="32"/>
          <w:szCs w:val="32"/>
          <w:u w:val="single"/>
          <w14:ligatures w14:val="none"/>
        </w:rPr>
        <w:t>What is wrong with this “Social Gospel” approach?</w:t>
      </w:r>
    </w:p>
    <w:p w14:paraId="365C1706" w14:textId="77777777" w:rsidR="00833705" w:rsidRPr="00833705" w:rsidRDefault="00833705" w:rsidP="00833705">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rPr>
          <w:rFonts w:ascii="Cambria" w:eastAsia="Calibri" w:hAnsi="Cambria" w:cs="Calibri"/>
          <w:bCs/>
          <w:color w:val="000000" w:themeColor="text1"/>
          <w:kern w:val="0"/>
          <w14:ligatures w14:val="none"/>
        </w:rPr>
      </w:pPr>
    </w:p>
    <w:p w14:paraId="5CEA3CC9" w14:textId="0872D8AD" w:rsidR="00833705" w:rsidRPr="00833705" w:rsidRDefault="00833705" w:rsidP="00833705">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Cambria" w:eastAsia="Calibri" w:hAnsi="Cambria" w:cs="Calibri"/>
          <w:bCs/>
          <w:color w:val="000000" w:themeColor="text1"/>
          <w:kern w:val="0"/>
          <w14:ligatures w14:val="none"/>
        </w:rPr>
      </w:pPr>
      <w:r>
        <w:rPr>
          <w:rFonts w:ascii="Cambria" w:eastAsia="Calibri" w:hAnsi="Cambria" w:cs="Calibri"/>
          <w:bCs/>
          <w:color w:val="000000" w:themeColor="text1"/>
          <w:kern w:val="0"/>
          <w14:ligatures w14:val="none"/>
        </w:rPr>
        <w:tab/>
      </w:r>
      <w:r w:rsidRPr="00833705">
        <w:rPr>
          <w:rFonts w:ascii="Cambria" w:eastAsia="Calibri" w:hAnsi="Cambria" w:cs="Calibri"/>
          <w:bCs/>
          <w:color w:val="000000" w:themeColor="text1"/>
          <w:kern w:val="0"/>
          <w14:ligatures w14:val="none"/>
        </w:rPr>
        <w:t xml:space="preserve">1. </w:t>
      </w:r>
      <w:r w:rsidRPr="00833705">
        <w:rPr>
          <w:rFonts w:ascii="Cambria" w:eastAsia="Calibri" w:hAnsi="Cambria" w:cs="Calibri"/>
          <w:b/>
          <w:color w:val="0000FF"/>
          <w:kern w:val="0"/>
          <w:u w:val="single"/>
          <w14:ligatures w14:val="none"/>
        </w:rPr>
        <w:t>It has the wrong focus</w:t>
      </w:r>
      <w:r w:rsidRPr="00833705">
        <w:rPr>
          <w:rFonts w:ascii="Cambria" w:eastAsia="Calibri" w:hAnsi="Cambria" w:cs="Calibri"/>
          <w:bCs/>
          <w:color w:val="000000" w:themeColor="text1"/>
          <w:kern w:val="0"/>
          <w14:ligatures w14:val="none"/>
        </w:rPr>
        <w:t xml:space="preserv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The gospel of Christ is focused on the spiritual salvation of souls. In recognition of this fact, Paul wrote to Timothy, saying, </w:t>
      </w:r>
      <w:r w:rsidRPr="00833705">
        <w:rPr>
          <w:rFonts w:ascii="Cambria" w:eastAsia="Calibri" w:hAnsi="Cambria" w:cs="Calibri"/>
          <w:b/>
          <w:i/>
          <w:iCs/>
          <w:color w:val="0000FF"/>
          <w:kern w:val="0"/>
          <w14:ligatures w14:val="none"/>
        </w:rPr>
        <w:t>"This is a faithful saying and worthy of all acceptance, that Christ Jesus came into the world to save sinners, of whom I am chief"</w:t>
      </w:r>
      <w:r w:rsidRPr="00833705">
        <w:rPr>
          <w:rFonts w:ascii="Cambria" w:eastAsia="Calibri" w:hAnsi="Cambria" w:cs="Calibri"/>
          <w:bCs/>
          <w:color w:val="0000FF"/>
          <w:kern w:val="0"/>
          <w14:ligatures w14:val="none"/>
        </w:rPr>
        <w:t xml:space="preserve"> </w:t>
      </w:r>
      <w:r w:rsidRPr="00833705">
        <w:rPr>
          <w:rFonts w:ascii="Cambria" w:eastAsia="Calibri" w:hAnsi="Cambria" w:cs="Calibri"/>
          <w:bCs/>
          <w:color w:val="000000" w:themeColor="text1"/>
          <w:kern w:val="0"/>
          <w14:ligatures w14:val="none"/>
        </w:rPr>
        <w:t>(</w:t>
      </w:r>
      <w:r w:rsidRPr="00833705">
        <w:rPr>
          <w:rFonts w:ascii="Cambria" w:eastAsia="Calibri" w:hAnsi="Cambria" w:cs="Calibri"/>
          <w:b/>
          <w:color w:val="0000FF"/>
          <w:kern w:val="0"/>
          <w14:ligatures w14:val="none"/>
        </w:rPr>
        <w:t>1 Timothy 1:15</w:t>
      </w:r>
      <w:r w:rsidRPr="00833705">
        <w:rPr>
          <w:rFonts w:ascii="Cambria" w:eastAsia="Calibri" w:hAnsi="Cambria" w:cs="Calibri"/>
          <w:bCs/>
          <w:color w:val="000000" w:themeColor="text1"/>
          <w:kern w:val="0"/>
          <w14:ligatures w14:val="none"/>
        </w:rPr>
        <w:t xml:space="preserv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Rather than expecting the gospel to remove all physical, material, or social ills from the world, Jesus emphasized the need for His followers to look beyond this present world for relief.</w:t>
      </w:r>
      <w:r w:rsidR="00C33999">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On the night of His betrayal He encouraged His apostles, saying, </w:t>
      </w:r>
      <w:r w:rsidRPr="00833705">
        <w:rPr>
          <w:rFonts w:ascii="Cambria" w:eastAsia="Calibri" w:hAnsi="Cambria" w:cs="Calibri"/>
          <w:b/>
          <w:i/>
          <w:iCs/>
          <w:color w:val="0000FF"/>
          <w:kern w:val="0"/>
          <w14:ligatures w14:val="none"/>
        </w:rPr>
        <w:t>"These things I have spoken to you, that in Me you may have peace.</w:t>
      </w:r>
      <w:r w:rsidR="00C33999">
        <w:rPr>
          <w:rFonts w:ascii="Cambria" w:eastAsia="Calibri" w:hAnsi="Cambria" w:cs="Calibri"/>
          <w:b/>
          <w:i/>
          <w:iCs/>
          <w:color w:val="0000FF"/>
          <w:kern w:val="0"/>
          <w14:ligatures w14:val="none"/>
        </w:rPr>
        <w:t xml:space="preserve">  </w:t>
      </w:r>
      <w:r w:rsidRPr="00833705">
        <w:rPr>
          <w:rFonts w:ascii="Cambria" w:eastAsia="Calibri" w:hAnsi="Cambria" w:cs="Calibri"/>
          <w:b/>
          <w:i/>
          <w:iCs/>
          <w:color w:val="0000FF"/>
          <w:kern w:val="0"/>
          <w14:ligatures w14:val="none"/>
        </w:rPr>
        <w:t>In the world you will have tribulation; but be of good cheer, I have overcome the world"</w:t>
      </w:r>
      <w:r w:rsidRPr="00833705">
        <w:rPr>
          <w:rFonts w:ascii="Cambria" w:eastAsia="Calibri" w:hAnsi="Cambria" w:cs="Calibri"/>
          <w:bCs/>
          <w:color w:val="000000" w:themeColor="text1"/>
          <w:kern w:val="0"/>
          <w14:ligatures w14:val="none"/>
        </w:rPr>
        <w:t xml:space="preserve"> </w:t>
      </w:r>
      <w:r w:rsidRPr="00833705">
        <w:rPr>
          <w:rFonts w:ascii="Cambria" w:eastAsia="Calibri" w:hAnsi="Cambria" w:cs="Calibri"/>
          <w:b/>
          <w:color w:val="0000FF"/>
          <w:kern w:val="0"/>
          <w14:ligatures w14:val="none"/>
        </w:rPr>
        <w:t>(John 16:33</w:t>
      </w:r>
      <w:r w:rsidRPr="00833705">
        <w:rPr>
          <w:rFonts w:ascii="Cambria" w:eastAsia="Calibri" w:hAnsi="Cambria" w:cs="Calibri"/>
          <w:bCs/>
          <w:color w:val="000000" w:themeColor="text1"/>
          <w:kern w:val="0"/>
          <w14:ligatures w14:val="none"/>
        </w:rPr>
        <w:t xml:space="preserv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To shift the focus of the gospel toward removing the troubles of this world is to change it entirely.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According to the New Testament, the work of the local church is to spread the message of salvation (</w:t>
      </w:r>
      <w:r w:rsidRPr="00833705">
        <w:rPr>
          <w:rFonts w:ascii="Cambria" w:eastAsia="Calibri" w:hAnsi="Cambria" w:cs="Calibri"/>
          <w:b/>
          <w:color w:val="0000FF"/>
          <w:kern w:val="0"/>
          <w14:ligatures w14:val="none"/>
        </w:rPr>
        <w:t>1 Thessalonians 1:8</w:t>
      </w:r>
      <w:r w:rsidRPr="00833705">
        <w:rPr>
          <w:rFonts w:ascii="Cambria" w:eastAsia="Calibri" w:hAnsi="Cambria" w:cs="Calibri"/>
          <w:bCs/>
          <w:color w:val="000000" w:themeColor="text1"/>
          <w:kern w:val="0"/>
          <w14:ligatures w14:val="none"/>
        </w:rPr>
        <w:t>), to spiritually build up its members in the faith (</w:t>
      </w:r>
      <w:r w:rsidRPr="00833705">
        <w:rPr>
          <w:rFonts w:ascii="Cambria" w:eastAsia="Calibri" w:hAnsi="Cambria" w:cs="Calibri"/>
          <w:b/>
          <w:color w:val="0000FF"/>
          <w:kern w:val="0"/>
          <w14:ligatures w14:val="none"/>
        </w:rPr>
        <w:t>Ephesians 4:11-16</w:t>
      </w:r>
      <w:r w:rsidRPr="00833705">
        <w:rPr>
          <w:rFonts w:ascii="Cambria" w:eastAsia="Calibri" w:hAnsi="Cambria" w:cs="Calibri"/>
          <w:bCs/>
          <w:color w:val="000000" w:themeColor="text1"/>
          <w:kern w:val="0"/>
          <w14:ligatures w14:val="none"/>
        </w:rPr>
        <w:t>)</w:t>
      </w:r>
      <w:r w:rsidR="00C33999">
        <w:rPr>
          <w:rFonts w:ascii="Cambria" w:eastAsia="Calibri" w:hAnsi="Cambria" w:cs="Calibri"/>
          <w:bCs/>
          <w:color w:val="000000" w:themeColor="text1"/>
          <w:kern w:val="0"/>
          <w14:ligatures w14:val="none"/>
        </w:rPr>
        <w:t>,</w:t>
      </w:r>
      <w:r w:rsidRPr="00833705">
        <w:rPr>
          <w:rFonts w:ascii="Cambria" w:eastAsia="Calibri" w:hAnsi="Cambria" w:cs="Calibri"/>
          <w:bCs/>
          <w:color w:val="000000" w:themeColor="text1"/>
          <w:kern w:val="0"/>
          <w14:ligatures w14:val="none"/>
        </w:rPr>
        <w:t xml:space="preserve"> and to relieve needy saints (</w:t>
      </w:r>
      <w:r w:rsidRPr="00833705">
        <w:rPr>
          <w:rFonts w:ascii="Cambria" w:eastAsia="Calibri" w:hAnsi="Cambria" w:cs="Calibri"/>
          <w:b/>
          <w:color w:val="0000FF"/>
          <w:kern w:val="0"/>
          <w14:ligatures w14:val="none"/>
        </w:rPr>
        <w:t>Romans 15:25-26</w:t>
      </w:r>
      <w:r w:rsidRPr="00833705">
        <w:rPr>
          <w:rFonts w:ascii="Cambria" w:eastAsia="Calibri" w:hAnsi="Cambria" w:cs="Calibri"/>
          <w:bCs/>
          <w:color w:val="000000" w:themeColor="text1"/>
          <w:kern w:val="0"/>
          <w14:ligatures w14:val="none"/>
        </w:rPr>
        <w:t xml:space="preserv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While individual Christians have responsibilities when it comes to using their own resources to help with the physical and material needs of their neighbors, God's word does not authorize the church to use its </w:t>
      </w:r>
      <w:r w:rsidR="00C33999">
        <w:rPr>
          <w:rFonts w:ascii="Cambria" w:eastAsia="Calibri" w:hAnsi="Cambria" w:cs="Calibri"/>
          <w:bCs/>
          <w:color w:val="000000" w:themeColor="text1"/>
          <w:kern w:val="0"/>
          <w14:ligatures w14:val="none"/>
        </w:rPr>
        <w:t>“</w:t>
      </w:r>
      <w:r w:rsidRPr="00833705">
        <w:rPr>
          <w:rFonts w:ascii="Cambria" w:eastAsia="Calibri" w:hAnsi="Cambria" w:cs="Calibri"/>
          <w:bCs/>
          <w:color w:val="000000" w:themeColor="text1"/>
          <w:kern w:val="0"/>
          <w14:ligatures w14:val="none"/>
        </w:rPr>
        <w:t>collective</w:t>
      </w:r>
      <w:r w:rsidR="00C33999">
        <w:rPr>
          <w:rFonts w:ascii="Cambria" w:eastAsia="Calibri" w:hAnsi="Cambria" w:cs="Calibri"/>
          <w:bCs/>
          <w:color w:val="000000" w:themeColor="text1"/>
          <w:kern w:val="0"/>
          <w14:ligatures w14:val="none"/>
        </w:rPr>
        <w:t>”</w:t>
      </w:r>
      <w:r w:rsidRPr="00833705">
        <w:rPr>
          <w:rFonts w:ascii="Cambria" w:eastAsia="Calibri" w:hAnsi="Cambria" w:cs="Calibri"/>
          <w:bCs/>
          <w:color w:val="000000" w:themeColor="text1"/>
          <w:kern w:val="0"/>
          <w14:ligatures w14:val="none"/>
        </w:rPr>
        <w:t xml:space="preserve"> funds and resources to tend to these needs, nor does it authorize the church engage in funding secular education, recreational activities</w:t>
      </w:r>
      <w:r w:rsidR="00C33999">
        <w:rPr>
          <w:rFonts w:ascii="Cambria" w:eastAsia="Calibri" w:hAnsi="Cambria" w:cs="Calibri"/>
          <w:bCs/>
          <w:color w:val="000000" w:themeColor="text1"/>
          <w:kern w:val="0"/>
          <w14:ligatures w14:val="none"/>
        </w:rPr>
        <w:t>,</w:t>
      </w:r>
      <w:r w:rsidRPr="00833705">
        <w:rPr>
          <w:rFonts w:ascii="Cambria" w:eastAsia="Calibri" w:hAnsi="Cambria" w:cs="Calibri"/>
          <w:bCs/>
          <w:color w:val="000000" w:themeColor="text1"/>
          <w:kern w:val="0"/>
          <w14:ligatures w14:val="none"/>
        </w:rPr>
        <w:t xml:space="preserve"> or social functions.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In emphasizing a mission that is physical, material, and social</w:t>
      </w:r>
      <w:r w:rsidR="00C33999">
        <w:rPr>
          <w:rFonts w:ascii="Cambria" w:eastAsia="Calibri" w:hAnsi="Cambria" w:cs="Calibri"/>
          <w:bCs/>
          <w:color w:val="000000" w:themeColor="text1"/>
          <w:kern w:val="0"/>
          <w14:ligatures w14:val="none"/>
        </w:rPr>
        <w:t>,</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the "Social Gospel" approach adopts a focus that is different from the gospel of Christ.</w:t>
      </w:r>
    </w:p>
    <w:p w14:paraId="212AC3A9" w14:textId="7DCD0145" w:rsidR="00833705" w:rsidRPr="00833705" w:rsidRDefault="00833705" w:rsidP="00833705">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Cambria" w:eastAsia="Calibri" w:hAnsi="Cambria" w:cs="Calibri"/>
          <w:bCs/>
          <w:color w:val="000000" w:themeColor="text1"/>
          <w:kern w:val="0"/>
          <w14:ligatures w14:val="none"/>
        </w:rPr>
      </w:pPr>
      <w:r>
        <w:rPr>
          <w:rFonts w:ascii="Cambria" w:eastAsia="Calibri" w:hAnsi="Cambria" w:cs="Calibri"/>
          <w:bCs/>
          <w:color w:val="000000" w:themeColor="text1"/>
          <w:kern w:val="0"/>
          <w14:ligatures w14:val="none"/>
        </w:rPr>
        <w:tab/>
      </w:r>
      <w:r w:rsidRPr="00833705">
        <w:rPr>
          <w:rFonts w:ascii="Cambria" w:eastAsia="Calibri" w:hAnsi="Cambria" w:cs="Calibri"/>
          <w:bCs/>
          <w:color w:val="000000" w:themeColor="text1"/>
          <w:kern w:val="0"/>
          <w14:ligatures w14:val="none"/>
        </w:rPr>
        <w:t xml:space="preserve">2. </w:t>
      </w:r>
      <w:r w:rsidRPr="00833705">
        <w:rPr>
          <w:rFonts w:ascii="Cambria" w:eastAsia="Calibri" w:hAnsi="Cambria" w:cs="Calibri"/>
          <w:b/>
          <w:color w:val="0000FF"/>
          <w:kern w:val="0"/>
          <w:u w:val="single"/>
          <w14:ligatures w14:val="none"/>
        </w:rPr>
        <w:t>It uses the wrong drawing power</w:t>
      </w:r>
      <w:r w:rsidRPr="00833705">
        <w:rPr>
          <w:rFonts w:ascii="Cambria" w:eastAsia="Calibri" w:hAnsi="Cambria" w:cs="Calibri"/>
          <w:bCs/>
          <w:color w:val="000000" w:themeColor="text1"/>
          <w:kern w:val="0"/>
          <w14:ligatures w14:val="none"/>
        </w:rPr>
        <w:t xml:space="preserv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Many have attempted to justify "Social Gospel" practices, claiming that by having the church operate soup kitchens, provide medical assistance, fund secular education, host social meals, or offer entertainment and recreation, people will become interested in coming to church and will eventually learn about Jesus.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But did Jesus say these are the things that are to be used to draw people to Him?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The truth is that the Lord said, </w:t>
      </w:r>
      <w:r w:rsidRPr="00833705">
        <w:rPr>
          <w:rFonts w:ascii="Cambria" w:eastAsia="Calibri" w:hAnsi="Cambria" w:cs="Calibri"/>
          <w:b/>
          <w:i/>
          <w:iCs/>
          <w:color w:val="0000FF"/>
          <w:kern w:val="0"/>
          <w14:ligatures w14:val="none"/>
        </w:rPr>
        <w:t>"And I, if I am lifted up from the earth, will draw all peoples to Myself"</w:t>
      </w:r>
      <w:r w:rsidRPr="00833705">
        <w:rPr>
          <w:rFonts w:ascii="Cambria" w:eastAsia="Calibri" w:hAnsi="Cambria" w:cs="Calibri"/>
          <w:bCs/>
          <w:color w:val="0000FF"/>
          <w:kern w:val="0"/>
          <w14:ligatures w14:val="none"/>
        </w:rPr>
        <w:t xml:space="preserve"> </w:t>
      </w:r>
      <w:r w:rsidRPr="00833705">
        <w:rPr>
          <w:rFonts w:ascii="Cambria" w:eastAsia="Calibri" w:hAnsi="Cambria" w:cs="Calibri"/>
          <w:bCs/>
          <w:color w:val="000000" w:themeColor="text1"/>
          <w:kern w:val="0"/>
          <w14:ligatures w14:val="none"/>
        </w:rPr>
        <w:t>(</w:t>
      </w:r>
      <w:r w:rsidRPr="00833705">
        <w:rPr>
          <w:rFonts w:ascii="Cambria" w:eastAsia="Calibri" w:hAnsi="Cambria" w:cs="Calibri"/>
          <w:b/>
          <w:color w:val="0000FF"/>
          <w:kern w:val="0"/>
          <w14:ligatures w14:val="none"/>
        </w:rPr>
        <w:t>J</w:t>
      </w:r>
      <w:r w:rsidRPr="00833705">
        <w:rPr>
          <w:rFonts w:ascii="Cambria" w:eastAsia="Calibri" w:hAnsi="Cambria" w:cs="Calibri"/>
          <w:b/>
          <w:color w:val="0000FF"/>
          <w:kern w:val="0"/>
          <w14:ligatures w14:val="none"/>
        </w:rPr>
        <w:t>ohn</w:t>
      </w:r>
      <w:r w:rsidRPr="00833705">
        <w:rPr>
          <w:rFonts w:ascii="Cambria" w:eastAsia="Calibri" w:hAnsi="Cambria" w:cs="Calibri"/>
          <w:b/>
          <w:color w:val="0000FF"/>
          <w:kern w:val="0"/>
          <w14:ligatures w14:val="none"/>
        </w:rPr>
        <w:t xml:space="preserve"> 12:32</w:t>
      </w:r>
      <w:r w:rsidRPr="00833705">
        <w:rPr>
          <w:rFonts w:ascii="Cambria" w:eastAsia="Calibri" w:hAnsi="Cambria" w:cs="Calibri"/>
          <w:bCs/>
          <w:color w:val="000000" w:themeColor="text1"/>
          <w:kern w:val="0"/>
          <w14:ligatures w14:val="none"/>
        </w:rPr>
        <w:t xml:space="preserv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According to the Son of God, it is His sacrificial death that is designed to draw people to Him.</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 The cross of Christ, rather than curing social ills or meeting social needs, is the drawing power that brings sinners to salvation.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Paul writes, </w:t>
      </w:r>
      <w:r w:rsidRPr="00833705">
        <w:rPr>
          <w:rFonts w:ascii="Cambria" w:eastAsia="Calibri" w:hAnsi="Cambria" w:cs="Calibri"/>
          <w:b/>
          <w:i/>
          <w:iCs/>
          <w:color w:val="0000FF"/>
          <w:kern w:val="0"/>
          <w14:ligatures w14:val="none"/>
        </w:rPr>
        <w:t>"For I am not ashamed of the gospel of Christ, for it is the power of God to salvation for everyone who believes, for the Jew first and also for the Greek"</w:t>
      </w:r>
      <w:r w:rsidRPr="00833705">
        <w:rPr>
          <w:rFonts w:ascii="Cambria" w:eastAsia="Calibri" w:hAnsi="Cambria" w:cs="Calibri"/>
          <w:bCs/>
          <w:color w:val="0000FF"/>
          <w:kern w:val="0"/>
          <w14:ligatures w14:val="none"/>
        </w:rPr>
        <w:t xml:space="preserve"> </w:t>
      </w:r>
      <w:r w:rsidRPr="00833705">
        <w:rPr>
          <w:rFonts w:ascii="Cambria" w:eastAsia="Calibri" w:hAnsi="Cambria" w:cs="Calibri"/>
          <w:bCs/>
          <w:color w:val="000000" w:themeColor="text1"/>
          <w:kern w:val="0"/>
          <w14:ligatures w14:val="none"/>
        </w:rPr>
        <w:t>(</w:t>
      </w:r>
      <w:r w:rsidRPr="00833705">
        <w:rPr>
          <w:rFonts w:ascii="Cambria" w:eastAsia="Calibri" w:hAnsi="Cambria" w:cs="Calibri"/>
          <w:b/>
          <w:color w:val="0000FF"/>
          <w:kern w:val="0"/>
          <w14:ligatures w14:val="none"/>
        </w:rPr>
        <w:t>Romans. 1:16</w:t>
      </w:r>
      <w:r w:rsidRPr="00833705">
        <w:rPr>
          <w:rFonts w:ascii="Cambria" w:eastAsia="Calibri" w:hAnsi="Cambria" w:cs="Calibri"/>
          <w:bCs/>
          <w:color w:val="000000" w:themeColor="text1"/>
          <w:kern w:val="0"/>
          <w14:ligatures w14:val="none"/>
        </w:rPr>
        <w:t xml:space="preserv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The power God uses to draw and save sinners is the message of salvation in Christ.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In attempting to use physical, material, and social means as the drawing power to lead people to the Lord, the "Social Gospel" approach employs drawing tactics that are very different from the gospel of Christ.</w:t>
      </w:r>
    </w:p>
    <w:p w14:paraId="00A0FFAB" w14:textId="5FCBC2E9" w:rsidR="00833705" w:rsidRPr="00833705" w:rsidRDefault="00833705" w:rsidP="00833705">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Cambria" w:eastAsia="Calibri" w:hAnsi="Cambria" w:cs="Calibri"/>
          <w:bCs/>
          <w:color w:val="000000" w:themeColor="text1"/>
          <w:kern w:val="0"/>
          <w14:ligatures w14:val="none"/>
        </w:rPr>
      </w:pPr>
      <w:r>
        <w:rPr>
          <w:rFonts w:ascii="Cambria" w:eastAsia="Calibri" w:hAnsi="Cambria" w:cs="Calibri"/>
          <w:bCs/>
          <w:color w:val="000000" w:themeColor="text1"/>
          <w:kern w:val="0"/>
          <w14:ligatures w14:val="none"/>
        </w:rPr>
        <w:tab/>
      </w:r>
      <w:r w:rsidRPr="00833705">
        <w:rPr>
          <w:rFonts w:ascii="Cambria" w:eastAsia="Calibri" w:hAnsi="Cambria" w:cs="Calibri"/>
          <w:bCs/>
          <w:color w:val="000000" w:themeColor="text1"/>
          <w:kern w:val="0"/>
          <w14:ligatures w14:val="none"/>
        </w:rPr>
        <w:t xml:space="preserve">3. </w:t>
      </w:r>
      <w:r w:rsidRPr="00833705">
        <w:rPr>
          <w:rFonts w:ascii="Cambria" w:eastAsia="Calibri" w:hAnsi="Cambria" w:cs="Calibri"/>
          <w:b/>
          <w:color w:val="0000FF"/>
          <w:kern w:val="0"/>
          <w:u w:val="single"/>
          <w14:ligatures w14:val="none"/>
        </w:rPr>
        <w:t>It produces the wrong results</w:t>
      </w:r>
      <w:r w:rsidRPr="00833705">
        <w:rPr>
          <w:rFonts w:ascii="Cambria" w:eastAsia="Calibri" w:hAnsi="Cambria" w:cs="Calibri"/>
          <w:bCs/>
          <w:color w:val="000000" w:themeColor="text1"/>
          <w:kern w:val="0"/>
          <w14:ligatures w14:val="none"/>
        </w:rPr>
        <w:t xml:space="preserv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Whatever enticement is used to draw people will also be needed </w:t>
      </w:r>
      <w:proofErr w:type="gramStart"/>
      <w:r w:rsidRPr="00833705">
        <w:rPr>
          <w:rFonts w:ascii="Cambria" w:eastAsia="Calibri" w:hAnsi="Cambria" w:cs="Calibri"/>
          <w:bCs/>
          <w:color w:val="000000" w:themeColor="text1"/>
          <w:kern w:val="0"/>
          <w14:ligatures w14:val="none"/>
        </w:rPr>
        <w:t>in order to</w:t>
      </w:r>
      <w:proofErr w:type="gramEnd"/>
      <w:r w:rsidRPr="00833705">
        <w:rPr>
          <w:rFonts w:ascii="Cambria" w:eastAsia="Calibri" w:hAnsi="Cambria" w:cs="Calibri"/>
          <w:bCs/>
          <w:color w:val="000000" w:themeColor="text1"/>
          <w:kern w:val="0"/>
          <w14:ligatures w14:val="none"/>
        </w:rPr>
        <w:t xml:space="preserve"> keep them.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When people are drawn in by entertainment, sports leagues, free food, or other handouts, those same things will need to be made available indefinitely </w:t>
      </w:r>
      <w:proofErr w:type="gramStart"/>
      <w:r w:rsidRPr="00833705">
        <w:rPr>
          <w:rFonts w:ascii="Cambria" w:eastAsia="Calibri" w:hAnsi="Cambria" w:cs="Calibri"/>
          <w:bCs/>
          <w:color w:val="000000" w:themeColor="text1"/>
          <w:kern w:val="0"/>
          <w14:ligatures w14:val="none"/>
        </w:rPr>
        <w:t>in order to</w:t>
      </w:r>
      <w:proofErr w:type="gramEnd"/>
      <w:r w:rsidRPr="00833705">
        <w:rPr>
          <w:rFonts w:ascii="Cambria" w:eastAsia="Calibri" w:hAnsi="Cambria" w:cs="Calibri"/>
          <w:bCs/>
          <w:color w:val="000000" w:themeColor="text1"/>
          <w:kern w:val="0"/>
          <w14:ligatures w14:val="none"/>
        </w:rPr>
        <w:t xml:space="preserve"> avoid losing their interest.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But, according to the New Testament, those who come to Christ are called to Him, not by catering to their social needs, but by the gospel of Christ (cf. </w:t>
      </w:r>
      <w:r w:rsidRPr="00833705">
        <w:rPr>
          <w:rFonts w:ascii="Cambria" w:eastAsia="Calibri" w:hAnsi="Cambria" w:cs="Calibri"/>
          <w:b/>
          <w:color w:val="0000FF"/>
          <w:kern w:val="0"/>
          <w14:ligatures w14:val="none"/>
        </w:rPr>
        <w:t>1 Thessalonians 2:13-14</w:t>
      </w:r>
      <w:r w:rsidRPr="00833705">
        <w:rPr>
          <w:rFonts w:ascii="Cambria" w:eastAsia="Calibri" w:hAnsi="Cambria" w:cs="Calibri"/>
          <w:bCs/>
          <w:color w:val="000000" w:themeColor="text1"/>
          <w:kern w:val="0"/>
          <w14:ligatures w14:val="none"/>
        </w:rPr>
        <w:t xml:space="preserv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The apostle Peter writes, </w:t>
      </w:r>
      <w:r w:rsidRPr="00833705">
        <w:rPr>
          <w:rFonts w:ascii="Cambria" w:eastAsia="Calibri" w:hAnsi="Cambria" w:cs="Calibri"/>
          <w:b/>
          <w:i/>
          <w:iCs/>
          <w:color w:val="0000FF"/>
          <w:kern w:val="0"/>
          <w14:ligatures w14:val="none"/>
        </w:rPr>
        <w:t>"Blessed be the God and Father of our Lord Jesus Christ, who according to His abundant mercy has begotten us again to a living hope through the resurrection of Jesus Christ from the dead, to an inheritance incorruptible and undefiled and that does not fade away, reserved in heaven for you, who are kept by the power of God through faith for salvation ready to be revealed in the last time"</w:t>
      </w:r>
      <w:r w:rsidRPr="00833705">
        <w:rPr>
          <w:rFonts w:ascii="Cambria" w:eastAsia="Calibri" w:hAnsi="Cambria" w:cs="Calibri"/>
          <w:bCs/>
          <w:color w:val="0000FF"/>
          <w:kern w:val="0"/>
          <w14:ligatures w14:val="none"/>
        </w:rPr>
        <w:t xml:space="preserve"> </w:t>
      </w:r>
      <w:r w:rsidRPr="00833705">
        <w:rPr>
          <w:rFonts w:ascii="Cambria" w:eastAsia="Calibri" w:hAnsi="Cambria" w:cs="Calibri"/>
          <w:bCs/>
          <w:color w:val="000000" w:themeColor="text1"/>
          <w:kern w:val="0"/>
          <w14:ligatures w14:val="none"/>
        </w:rPr>
        <w:t>(</w:t>
      </w:r>
      <w:r w:rsidRPr="00833705">
        <w:rPr>
          <w:rFonts w:ascii="Cambria" w:eastAsia="Calibri" w:hAnsi="Cambria" w:cs="Calibri"/>
          <w:b/>
          <w:color w:val="0000FF"/>
          <w:kern w:val="0"/>
          <w14:ligatures w14:val="none"/>
        </w:rPr>
        <w:t>1 Peter 1:3-5</w:t>
      </w:r>
      <w:r w:rsidRPr="00833705">
        <w:rPr>
          <w:rFonts w:ascii="Cambria" w:eastAsia="Calibri" w:hAnsi="Cambria" w:cs="Calibri"/>
          <w:bCs/>
          <w:color w:val="000000" w:themeColor="text1"/>
          <w:kern w:val="0"/>
          <w14:ligatures w14:val="none"/>
        </w:rPr>
        <w:t xml:space="preserv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God's people are </w:t>
      </w:r>
      <w:r w:rsidRPr="00833705">
        <w:rPr>
          <w:rFonts w:ascii="Cambria" w:eastAsia="Calibri" w:hAnsi="Cambria" w:cs="Calibri"/>
          <w:b/>
          <w:i/>
          <w:iCs/>
          <w:color w:val="0000FF"/>
          <w:kern w:val="0"/>
          <w14:ligatures w14:val="none"/>
        </w:rPr>
        <w:t>"kept by the power of God through faith,"</w:t>
      </w:r>
      <w:r w:rsidRPr="00833705">
        <w:rPr>
          <w:rFonts w:ascii="Cambria" w:eastAsia="Calibri" w:hAnsi="Cambria" w:cs="Calibri"/>
          <w:bCs/>
          <w:color w:val="0000FF"/>
          <w:kern w:val="0"/>
          <w14:ligatures w14:val="none"/>
        </w:rPr>
        <w:t xml:space="preserve"> </w:t>
      </w:r>
      <w:r w:rsidRPr="00833705">
        <w:rPr>
          <w:rFonts w:ascii="Cambria" w:eastAsia="Calibri" w:hAnsi="Cambria" w:cs="Calibri"/>
          <w:bCs/>
          <w:color w:val="000000" w:themeColor="text1"/>
          <w:kern w:val="0"/>
          <w14:ligatures w14:val="none"/>
        </w:rPr>
        <w:t xml:space="preserve">rather than by a constant stream of church-hosted recreation, entertainment, social meals, or social programs.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In attempting to use physical, material, and social means to produce followers of Christ, the "Social Gospel" approach produces results that are contrary to the gospel of Christ.</w:t>
      </w:r>
    </w:p>
    <w:p w14:paraId="33EA3A06" w14:textId="728AAC5F" w:rsidR="00671824" w:rsidRPr="00833705" w:rsidRDefault="00833705" w:rsidP="00833705">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Cambria" w:eastAsia="Calibri" w:hAnsi="Cambria" w:cs="Calibri"/>
          <w:bCs/>
          <w:color w:val="000000" w:themeColor="text1"/>
          <w:kern w:val="0"/>
          <w14:ligatures w14:val="none"/>
        </w:rPr>
      </w:pPr>
      <w:r>
        <w:rPr>
          <w:rFonts w:ascii="Cambria" w:eastAsia="Calibri" w:hAnsi="Cambria" w:cs="Calibri"/>
          <w:bCs/>
          <w:color w:val="000000" w:themeColor="text1"/>
          <w:kern w:val="0"/>
          <w14:ligatures w14:val="none"/>
        </w:rPr>
        <w:tab/>
      </w:r>
      <w:r w:rsidRPr="00833705">
        <w:rPr>
          <w:rFonts w:ascii="Cambria" w:eastAsia="Calibri" w:hAnsi="Cambria" w:cs="Calibri"/>
          <w:bCs/>
          <w:color w:val="000000" w:themeColor="text1"/>
          <w:kern w:val="0"/>
          <w14:ligatures w14:val="none"/>
        </w:rPr>
        <w:t xml:space="preserve">Conclusion: Let us never confuse the "Social Gospel" approach with the approach that was authorized, approved, and advanced by the Lord and His apostles.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The more man's confidence in the cross of Christ crumbles, the more religious groups will seek to place their confidence in social programs and recreational activities to draw people.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 xml:space="preserve">However, Paul writes, </w:t>
      </w:r>
      <w:r w:rsidRPr="00833705">
        <w:rPr>
          <w:rFonts w:ascii="Cambria" w:eastAsia="Calibri" w:hAnsi="Cambria" w:cs="Calibri"/>
          <w:b/>
          <w:i/>
          <w:iCs/>
          <w:color w:val="0000FF"/>
          <w:kern w:val="0"/>
          <w14:ligatures w14:val="none"/>
        </w:rPr>
        <w:t>"For the message of the cross is foolishness to those who are perishing, but to us who are being saved it is the power of God"</w:t>
      </w:r>
      <w:r w:rsidRPr="00833705">
        <w:rPr>
          <w:rFonts w:ascii="Cambria" w:eastAsia="Calibri" w:hAnsi="Cambria" w:cs="Calibri"/>
          <w:bCs/>
          <w:color w:val="000000" w:themeColor="text1"/>
          <w:kern w:val="0"/>
          <w14:ligatures w14:val="none"/>
        </w:rPr>
        <w:t xml:space="preserve"> (</w:t>
      </w:r>
      <w:r w:rsidRPr="00833705">
        <w:rPr>
          <w:rFonts w:ascii="Cambria" w:eastAsia="Calibri" w:hAnsi="Cambria" w:cs="Calibri"/>
          <w:b/>
          <w:color w:val="0000FF"/>
          <w:kern w:val="0"/>
          <w14:ligatures w14:val="none"/>
        </w:rPr>
        <w:t>1 Corinthians 1:18</w:t>
      </w:r>
      <w:r w:rsidRPr="00833705">
        <w:rPr>
          <w:rFonts w:ascii="Cambria" w:eastAsia="Calibri" w:hAnsi="Cambria" w:cs="Calibri"/>
          <w:bCs/>
          <w:color w:val="000000" w:themeColor="text1"/>
          <w:kern w:val="0"/>
          <w14:ligatures w14:val="none"/>
        </w:rPr>
        <w:t xml:space="preserve">). </w:t>
      </w:r>
      <w:r>
        <w:rPr>
          <w:rFonts w:ascii="Cambria" w:eastAsia="Calibri" w:hAnsi="Cambria" w:cs="Calibri"/>
          <w:bCs/>
          <w:color w:val="000000" w:themeColor="text1"/>
          <w:kern w:val="0"/>
          <w14:ligatures w14:val="none"/>
        </w:rPr>
        <w:t xml:space="preserve"> </w:t>
      </w:r>
      <w:r w:rsidRPr="00833705">
        <w:rPr>
          <w:rFonts w:ascii="Cambria" w:eastAsia="Calibri" w:hAnsi="Cambria" w:cs="Calibri"/>
          <w:bCs/>
          <w:color w:val="000000" w:themeColor="text1"/>
          <w:kern w:val="0"/>
          <w14:ligatures w14:val="none"/>
        </w:rPr>
        <w:t>May we never lose confidence in the cross of Christ to draw sinners to salvation.</w:t>
      </w:r>
    </w:p>
    <w:sectPr w:rsidR="00671824" w:rsidRPr="00833705" w:rsidSect="00833705">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DE"/>
    <w:rsid w:val="0014728D"/>
    <w:rsid w:val="001E7F03"/>
    <w:rsid w:val="002123B7"/>
    <w:rsid w:val="002D0F66"/>
    <w:rsid w:val="002F6D77"/>
    <w:rsid w:val="00376463"/>
    <w:rsid w:val="00574AF4"/>
    <w:rsid w:val="00671824"/>
    <w:rsid w:val="006F410B"/>
    <w:rsid w:val="00700FFA"/>
    <w:rsid w:val="00745B39"/>
    <w:rsid w:val="00745B71"/>
    <w:rsid w:val="00791046"/>
    <w:rsid w:val="007D38BC"/>
    <w:rsid w:val="00833705"/>
    <w:rsid w:val="00833E71"/>
    <w:rsid w:val="00894243"/>
    <w:rsid w:val="008D688D"/>
    <w:rsid w:val="008D7899"/>
    <w:rsid w:val="00970E61"/>
    <w:rsid w:val="009A35AE"/>
    <w:rsid w:val="009D21DE"/>
    <w:rsid w:val="00A717D0"/>
    <w:rsid w:val="00B91FC7"/>
    <w:rsid w:val="00C33999"/>
    <w:rsid w:val="00CA727A"/>
    <w:rsid w:val="00CF3EEC"/>
    <w:rsid w:val="00D73A52"/>
    <w:rsid w:val="00DF5CC6"/>
    <w:rsid w:val="00DF6846"/>
    <w:rsid w:val="00FD213E"/>
    <w:rsid w:val="00FF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4E1B"/>
  <w15:chartTrackingRefBased/>
  <w15:docId w15:val="{75E8455E-A47D-4D6C-989B-5BC624E5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1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21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21D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21D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D21D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D2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1D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21D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21D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21D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D21D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D2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1DE"/>
    <w:rPr>
      <w:rFonts w:eastAsiaTheme="majorEastAsia" w:cstheme="majorBidi"/>
      <w:color w:val="272727" w:themeColor="text1" w:themeTint="D8"/>
    </w:rPr>
  </w:style>
  <w:style w:type="paragraph" w:styleId="Title">
    <w:name w:val="Title"/>
    <w:basedOn w:val="Normal"/>
    <w:next w:val="Normal"/>
    <w:link w:val="TitleChar"/>
    <w:uiPriority w:val="10"/>
    <w:qFormat/>
    <w:rsid w:val="009D2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1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21DE"/>
    <w:rPr>
      <w:i/>
      <w:iCs/>
      <w:color w:val="404040" w:themeColor="text1" w:themeTint="BF"/>
    </w:rPr>
  </w:style>
  <w:style w:type="paragraph" w:styleId="ListParagraph">
    <w:name w:val="List Paragraph"/>
    <w:basedOn w:val="Normal"/>
    <w:uiPriority w:val="34"/>
    <w:qFormat/>
    <w:rsid w:val="009D21DE"/>
    <w:pPr>
      <w:ind w:left="720"/>
      <w:contextualSpacing/>
    </w:pPr>
  </w:style>
  <w:style w:type="character" w:styleId="IntenseEmphasis">
    <w:name w:val="Intense Emphasis"/>
    <w:basedOn w:val="DefaultParagraphFont"/>
    <w:uiPriority w:val="21"/>
    <w:qFormat/>
    <w:rsid w:val="009D21DE"/>
    <w:rPr>
      <w:i/>
      <w:iCs/>
      <w:color w:val="365F91" w:themeColor="accent1" w:themeShade="BF"/>
    </w:rPr>
  </w:style>
  <w:style w:type="paragraph" w:styleId="IntenseQuote">
    <w:name w:val="Intense Quote"/>
    <w:basedOn w:val="Normal"/>
    <w:next w:val="Normal"/>
    <w:link w:val="IntenseQuoteChar"/>
    <w:uiPriority w:val="30"/>
    <w:qFormat/>
    <w:rsid w:val="009D21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21DE"/>
    <w:rPr>
      <w:i/>
      <w:iCs/>
      <w:color w:val="365F91" w:themeColor="accent1" w:themeShade="BF"/>
    </w:rPr>
  </w:style>
  <w:style w:type="character" w:styleId="IntenseReference">
    <w:name w:val="Intense Reference"/>
    <w:basedOn w:val="DefaultParagraphFont"/>
    <w:uiPriority w:val="32"/>
    <w:qFormat/>
    <w:rsid w:val="009D21D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2025-06-18T19:39:00Z</cp:lastPrinted>
  <dcterms:created xsi:type="dcterms:W3CDTF">2025-06-18T19:44:00Z</dcterms:created>
  <dcterms:modified xsi:type="dcterms:W3CDTF">2025-06-18T19:44:00Z</dcterms:modified>
</cp:coreProperties>
</file>