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30" w:rsidRPr="00692C83" w:rsidRDefault="00DB7142" w:rsidP="00A65D30">
      <w:pPr>
        <w:spacing w:after="0" w:line="240" w:lineRule="auto"/>
        <w:jc w:val="center"/>
        <w:rPr>
          <w:rFonts w:ascii="Footlight MT Light" w:hAnsi="Footlight MT Light"/>
          <w:b/>
          <w:color w:val="984806" w:themeColor="accent6" w:themeShade="80"/>
          <w:sz w:val="48"/>
          <w:szCs w:val="48"/>
          <w:u w:val="single"/>
        </w:rPr>
      </w:pPr>
      <w:bookmarkStart w:id="0" w:name="_GoBack"/>
      <w:bookmarkEnd w:id="0"/>
      <w:r w:rsidRPr="00692C83">
        <w:rPr>
          <w:rFonts w:ascii="Footlight MT Light" w:hAnsi="Footlight MT Light"/>
          <w:b/>
          <w:color w:val="984806" w:themeColor="accent6" w:themeShade="80"/>
          <w:sz w:val="48"/>
          <w:szCs w:val="48"/>
          <w:u w:val="single"/>
        </w:rPr>
        <w:t>Tofu</w:t>
      </w:r>
    </w:p>
    <w:p w:rsidR="00A65D30" w:rsidRDefault="00DB7142" w:rsidP="00A65D30">
      <w:pPr>
        <w:spacing w:after="0" w:line="240" w:lineRule="auto"/>
        <w:jc w:val="center"/>
        <w:rPr>
          <w:rFonts w:ascii="Footlight MT Light" w:hAnsi="Footlight MT Light"/>
          <w:sz w:val="20"/>
          <w:szCs w:val="20"/>
        </w:rPr>
      </w:pPr>
      <w:r w:rsidRPr="00692C83">
        <w:rPr>
          <w:rFonts w:ascii="Footlight MT Light" w:hAnsi="Footlight MT Light"/>
          <w:sz w:val="20"/>
          <w:szCs w:val="20"/>
        </w:rPr>
        <w:t>Hal Hammons / East Hill Church of Christ</w:t>
      </w:r>
      <w:r w:rsidR="00692C83" w:rsidRPr="00692C83">
        <w:rPr>
          <w:rFonts w:ascii="Footlight MT Light" w:hAnsi="Footlight MT Light"/>
          <w:sz w:val="20"/>
          <w:szCs w:val="20"/>
        </w:rPr>
        <w:t xml:space="preserve"> b</w:t>
      </w:r>
      <w:r w:rsidRPr="00692C83">
        <w:rPr>
          <w:rFonts w:ascii="Footlight MT Light" w:hAnsi="Footlight MT Light"/>
          <w:sz w:val="20"/>
          <w:szCs w:val="20"/>
        </w:rPr>
        <w:t>ulletin</w:t>
      </w:r>
    </w:p>
    <w:p w:rsidR="00692C83" w:rsidRPr="00692C83" w:rsidRDefault="00692C83" w:rsidP="00A65D30">
      <w:pPr>
        <w:spacing w:after="0" w:line="240" w:lineRule="auto"/>
        <w:jc w:val="center"/>
        <w:rPr>
          <w:rFonts w:ascii="Footlight MT Light" w:hAnsi="Footlight MT Light"/>
          <w:sz w:val="20"/>
          <w:szCs w:val="20"/>
        </w:rPr>
      </w:pPr>
    </w:p>
    <w:p w:rsidR="00A65D30" w:rsidRPr="00692C83" w:rsidRDefault="00692C83" w:rsidP="00692C83">
      <w:pPr>
        <w:spacing w:after="0" w:line="240" w:lineRule="auto"/>
        <w:jc w:val="center"/>
        <w:rPr>
          <w:rFonts w:ascii="Footlight MT Light" w:hAnsi="Footlight MT Light"/>
          <w:sz w:val="24"/>
          <w:szCs w:val="24"/>
        </w:rPr>
      </w:pPr>
      <w:r w:rsidRPr="00692C83">
        <w:rPr>
          <w:rFonts w:ascii="Footlight MT Light" w:hAnsi="Footlight MT Light"/>
          <w:sz w:val="24"/>
          <w:szCs w:val="24"/>
        </w:rPr>
        <w:drawing>
          <wp:inline distT="0" distB="0" distL="0" distR="0" wp14:anchorId="446D3477" wp14:editId="2C82A162">
            <wp:extent cx="1428750" cy="1071563"/>
            <wp:effectExtent l="0" t="0" r="0" b="0"/>
            <wp:docPr id="2" name="Picture 2" descr="Image result for to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f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071563"/>
                    </a:xfrm>
                    <a:prstGeom prst="rect">
                      <a:avLst/>
                    </a:prstGeom>
                    <a:noFill/>
                    <a:ln>
                      <a:noFill/>
                    </a:ln>
                  </pic:spPr>
                </pic:pic>
              </a:graphicData>
            </a:graphic>
          </wp:inline>
        </w:drawing>
      </w:r>
    </w:p>
    <w:p w:rsidR="00DB7142" w:rsidRPr="00692C83" w:rsidRDefault="00A65D30"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r>
      <w:r w:rsidR="00DB7142" w:rsidRPr="00692C83">
        <w:rPr>
          <w:rFonts w:ascii="Footlight MT Light" w:hAnsi="Footlight MT Light"/>
          <w:sz w:val="24"/>
          <w:szCs w:val="24"/>
        </w:rPr>
        <w:t xml:space="preserve">My bachelor time eating habits have… changed a bit recently.  Not so long ago, upon being alone in the house, I would have taken the opportunity to eat a lot of things Tracie would not cook for me.  That much hasn’t changed.  The details are very different.  Take Tracie and Taylor’s recent trip, for instance.  Instead of cooking up deep-fried dead animal with fat-flavored gravy, I went hard-core vegetarian.  </w:t>
      </w:r>
    </w:p>
    <w:p w:rsidR="00DB7142" w:rsidRPr="00692C83" w:rsidRDefault="00DB7142" w:rsidP="00DB7142">
      <w:pPr>
        <w:spacing w:after="0" w:line="240" w:lineRule="auto"/>
        <w:jc w:val="both"/>
        <w:rPr>
          <w:rFonts w:ascii="Footlight MT Light" w:hAnsi="Footlight MT Light"/>
          <w:b/>
          <w:i/>
          <w:color w:val="C00000"/>
          <w:sz w:val="24"/>
          <w:szCs w:val="24"/>
        </w:rPr>
      </w:pPr>
      <w:r w:rsidRPr="00692C83">
        <w:rPr>
          <w:rFonts w:ascii="Footlight MT Light" w:hAnsi="Footlight MT Light"/>
          <w:sz w:val="24"/>
          <w:szCs w:val="24"/>
        </w:rPr>
        <w:tab/>
        <w:t xml:space="preserve">That’s right.  </w:t>
      </w:r>
      <w:r w:rsidR="00692C83">
        <w:rPr>
          <w:rFonts w:ascii="Footlight MT Light" w:hAnsi="Footlight MT Light"/>
          <w:b/>
          <w:i/>
          <w:color w:val="C00000"/>
          <w:sz w:val="24"/>
          <w:szCs w:val="24"/>
        </w:rPr>
        <w:t>I cooked Tofu!</w:t>
      </w:r>
    </w:p>
    <w:p w:rsidR="00DB7142" w:rsidRPr="00692C83" w:rsidRDefault="00DB7142"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t>I’ve always been a bit experimental with food.  I’ll try pretty much anything once.  But I have virtually no experience with tofu.  “It has no flavor!” said the nice sacker in the grocery store while compiling my dinner fixings.  “You put the flavor in it!” I replied.</w:t>
      </w:r>
    </w:p>
    <w:p w:rsidR="00DB7142" w:rsidRPr="00692C83" w:rsidRDefault="00DB7142"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t>And it worked.  I made a ginger-honey-soy sauce for it, and I stir-fried it with some carrots and asparagus.  The sauce tasted great.  The tofu, well, it tasted like something with great tasting sauce on it.</w:t>
      </w:r>
    </w:p>
    <w:p w:rsidR="00DB7142" w:rsidRPr="00692C83" w:rsidRDefault="00DB7142"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t>Some foods are like that.  They adopt the nature of their surroundings because they have little to define them in and of themselves.  Culinary sponges, you might say.  Prepared in the right way, with the right associations, they do fine.  On their own, it’s kind of like eating air.</w:t>
      </w:r>
    </w:p>
    <w:p w:rsidR="00DB7142" w:rsidRPr="00692C83" w:rsidRDefault="00DB7142"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r>
      <w:r w:rsidR="00453442" w:rsidRPr="00692C83">
        <w:rPr>
          <w:rFonts w:ascii="Footlight MT Light" w:hAnsi="Footlight MT Light"/>
          <w:sz w:val="24"/>
          <w:szCs w:val="24"/>
        </w:rPr>
        <w:t xml:space="preserve">Some people are like that, too.  They are perfectly capable of acting like Christians in the company of Christians.  They will blend right in.  But they will blend in with their worldly friends as well.  And not in a nice, </w:t>
      </w:r>
      <w:r w:rsidR="00453442" w:rsidRPr="00692C83">
        <w:rPr>
          <w:rFonts w:ascii="Footlight MT Light" w:hAnsi="Footlight MT Light"/>
          <w:b/>
          <w:color w:val="C00000"/>
          <w:sz w:val="24"/>
          <w:szCs w:val="24"/>
        </w:rPr>
        <w:t>1 Corinthians 9:20-22</w:t>
      </w:r>
      <w:r w:rsidR="00453442" w:rsidRPr="00692C83">
        <w:rPr>
          <w:rFonts w:ascii="Footlight MT Light" w:hAnsi="Footlight MT Light"/>
          <w:color w:val="C00000"/>
          <w:sz w:val="24"/>
          <w:szCs w:val="24"/>
        </w:rPr>
        <w:t xml:space="preserve"> </w:t>
      </w:r>
      <w:r w:rsidR="00453442" w:rsidRPr="00692C83">
        <w:rPr>
          <w:rFonts w:ascii="Footlight MT Light" w:hAnsi="Footlight MT Light"/>
          <w:sz w:val="24"/>
          <w:szCs w:val="24"/>
        </w:rPr>
        <w:t xml:space="preserve">way.  More of a </w:t>
      </w:r>
      <w:r w:rsidR="00453442" w:rsidRPr="00692C83">
        <w:rPr>
          <w:rFonts w:ascii="Footlight MT Light" w:hAnsi="Footlight MT Light"/>
          <w:b/>
          <w:color w:val="C00000"/>
          <w:sz w:val="24"/>
          <w:szCs w:val="24"/>
        </w:rPr>
        <w:t>1 Corinthians 15:33</w:t>
      </w:r>
      <w:r w:rsidR="00453442" w:rsidRPr="00692C83">
        <w:rPr>
          <w:rFonts w:ascii="Footlight MT Light" w:hAnsi="Footlight MT Light"/>
          <w:color w:val="C00000"/>
          <w:sz w:val="24"/>
          <w:szCs w:val="24"/>
        </w:rPr>
        <w:t xml:space="preserve"> </w:t>
      </w:r>
      <w:r w:rsidR="00453442" w:rsidRPr="00692C83">
        <w:rPr>
          <w:rFonts w:ascii="Footlight MT Light" w:hAnsi="Footlight MT Light"/>
          <w:sz w:val="24"/>
          <w:szCs w:val="24"/>
        </w:rPr>
        <w:t>way.  It might not be so much that they don’t believe in Jesus.  Maybe they just don’t believe in anything.  They are eager to look like Christians on Sunday, but then on Monday they will laugh at the vulgar jokes, wear the lewd clothing, enjoy the ribald entertainment and otherwise do whatever they can do to appear as worldly as possible.  A kinder observer might call such a one a “stealth Christian.”  Tending to err on the side of painful honesty myself, I would call such a one a fake – perhaps a fake sinner, pretending to take delight in something he or she knows to be abhorrent; certainly a fake Christian, acting like devoting four hours of time a week to the things of God is enough to define them.</w:t>
      </w:r>
    </w:p>
    <w:p w:rsidR="00453442" w:rsidRPr="00692C83" w:rsidRDefault="00453442"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t>Can we blame our surroundings for our sin?  Certainly!  The world we live in offers no shortage of opportunities to drag us into the deepest quagmires of depravity that can be imagined; we know that, because many of our neighbors are busy at work digging quagmires for that specific purpose.  Neighbors fail, society fails, governments fails, parents fail, peers fail – humans all, complete with human frailties, human weaknesses and human vices.</w:t>
      </w:r>
    </w:p>
    <w:p w:rsidR="00453442" w:rsidRPr="00692C83" w:rsidRDefault="00453442"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t>So what?</w:t>
      </w:r>
    </w:p>
    <w:p w:rsidR="00453442" w:rsidRPr="00692C83" w:rsidRDefault="00453442"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t>Joseph was in less-than-ideal circumstances when he was tempted to commit adultery (</w:t>
      </w:r>
      <w:r w:rsidR="003D0B8E">
        <w:rPr>
          <w:rFonts w:ascii="Footlight MT Light" w:hAnsi="Footlight MT Light"/>
          <w:b/>
          <w:color w:val="C00000"/>
          <w:sz w:val="24"/>
          <w:szCs w:val="24"/>
        </w:rPr>
        <w:t xml:space="preserve">Genesis </w:t>
      </w:r>
      <w:r w:rsidRPr="00692C83">
        <w:rPr>
          <w:rFonts w:ascii="Footlight MT Light" w:hAnsi="Footlight MT Light"/>
          <w:b/>
          <w:color w:val="C00000"/>
          <w:sz w:val="24"/>
          <w:szCs w:val="24"/>
        </w:rPr>
        <w:t>39:7-12</w:t>
      </w:r>
      <w:r w:rsidRPr="00692C83">
        <w:rPr>
          <w:rFonts w:ascii="Footlight MT Light" w:hAnsi="Footlight MT Light"/>
          <w:sz w:val="24"/>
          <w:szCs w:val="24"/>
        </w:rPr>
        <w:t xml:space="preserve">).  He could have blamed his employer, or his employer’s wife, or his brothers or his father.  He probably did.  But none of that provided an excuse for sin.  He chose to be strong instead of being weak.  Paul was in less-than-ideal circumstances when shackled to Roman guards, awaiting </w:t>
      </w:r>
      <w:r w:rsidR="00692C83" w:rsidRPr="00692C83">
        <w:rPr>
          <w:rFonts w:ascii="Footlight MT Light" w:hAnsi="Footlight MT Light"/>
          <w:sz w:val="24"/>
          <w:szCs w:val="24"/>
        </w:rPr>
        <w:t>trial</w:t>
      </w:r>
      <w:r w:rsidRPr="00692C83">
        <w:rPr>
          <w:rFonts w:ascii="Footlight MT Light" w:hAnsi="Footlight MT Light"/>
          <w:sz w:val="24"/>
          <w:szCs w:val="24"/>
        </w:rPr>
        <w:t xml:space="preserve"> on trumped-up charges.  He found opportunity to work, not opportunities to complain and quit (</w:t>
      </w:r>
      <w:r w:rsidRPr="00692C83">
        <w:rPr>
          <w:rFonts w:ascii="Footlight MT Light" w:hAnsi="Footlight MT Light"/>
          <w:b/>
          <w:color w:val="C00000"/>
          <w:sz w:val="24"/>
          <w:szCs w:val="24"/>
        </w:rPr>
        <w:t>Philippians 1:12-14</w:t>
      </w:r>
      <w:r w:rsidRPr="00692C83">
        <w:rPr>
          <w:rFonts w:ascii="Footlight MT Light" w:hAnsi="Footlight MT Light"/>
          <w:sz w:val="24"/>
          <w:szCs w:val="24"/>
        </w:rPr>
        <w:t>).</w:t>
      </w:r>
    </w:p>
    <w:p w:rsidR="00453442" w:rsidRPr="00692C83" w:rsidRDefault="00453442" w:rsidP="00DB7142">
      <w:pPr>
        <w:spacing w:after="0" w:line="240" w:lineRule="auto"/>
        <w:jc w:val="both"/>
        <w:rPr>
          <w:rFonts w:ascii="Footlight MT Light" w:hAnsi="Footlight MT Light"/>
          <w:sz w:val="24"/>
          <w:szCs w:val="24"/>
        </w:rPr>
      </w:pPr>
      <w:r w:rsidRPr="00692C83">
        <w:rPr>
          <w:rFonts w:ascii="Footlight MT Light" w:hAnsi="Footlight MT Light"/>
          <w:sz w:val="24"/>
          <w:szCs w:val="24"/>
        </w:rPr>
        <w:tab/>
        <w:t xml:space="preserve">All that being said, even the strongest of us are influenced by our surroundings.  It is only reasonable for us to </w:t>
      </w:r>
      <w:r w:rsidR="003D0B8E">
        <w:rPr>
          <w:rFonts w:ascii="Footlight MT Light" w:hAnsi="Footlight MT Light"/>
          <w:sz w:val="24"/>
          <w:szCs w:val="24"/>
        </w:rPr>
        <w:t>(</w:t>
      </w:r>
      <w:r w:rsidRPr="00692C83">
        <w:rPr>
          <w:rFonts w:ascii="Footlight MT Light" w:hAnsi="Footlight MT Light"/>
          <w:sz w:val="24"/>
          <w:szCs w:val="24"/>
        </w:rPr>
        <w:t xml:space="preserve">a) develop a strong character of our own that is independent of other and </w:t>
      </w:r>
      <w:r w:rsidR="003D0B8E">
        <w:rPr>
          <w:rFonts w:ascii="Footlight MT Light" w:hAnsi="Footlight MT Light"/>
          <w:sz w:val="24"/>
          <w:szCs w:val="24"/>
        </w:rPr>
        <w:t xml:space="preserve">(b) </w:t>
      </w:r>
      <w:r w:rsidRPr="00692C83">
        <w:rPr>
          <w:rFonts w:ascii="Footlight MT Light" w:hAnsi="Footlight MT Light"/>
          <w:sz w:val="24"/>
          <w:szCs w:val="24"/>
        </w:rPr>
        <w:t>avoid circu</w:t>
      </w:r>
      <w:r w:rsidR="00692C83" w:rsidRPr="00692C83">
        <w:rPr>
          <w:rFonts w:ascii="Footlight MT Light" w:hAnsi="Footlight MT Light"/>
          <w:sz w:val="24"/>
          <w:szCs w:val="24"/>
        </w:rPr>
        <w:t>mstances where that character may be compromised.  Your character is shaped by your surroundings, no doubt.  So be careful when choosing your friends, entertainment, work setting, etc.  But character ultimately is a choice.  Your choice.</w:t>
      </w:r>
    </w:p>
    <w:p w:rsidR="00ED3036" w:rsidRPr="00692C83" w:rsidRDefault="00692C83" w:rsidP="00692C83">
      <w:pPr>
        <w:spacing w:after="0" w:line="240" w:lineRule="auto"/>
        <w:jc w:val="both"/>
        <w:rPr>
          <w:rFonts w:ascii="Footlight MT Light" w:hAnsi="Footlight MT Light"/>
          <w:sz w:val="24"/>
          <w:szCs w:val="24"/>
        </w:rPr>
      </w:pPr>
      <w:r w:rsidRPr="00692C83">
        <w:rPr>
          <w:rFonts w:ascii="Footlight MT Light" w:hAnsi="Footlight MT Light"/>
          <w:sz w:val="24"/>
          <w:szCs w:val="24"/>
        </w:rPr>
        <w:tab/>
      </w:r>
      <w:r w:rsidRPr="003D0B8E">
        <w:rPr>
          <w:rFonts w:ascii="Footlight MT Light" w:hAnsi="Footlight MT Light"/>
          <w:b/>
          <w:i/>
          <w:color w:val="C00000"/>
          <w:sz w:val="24"/>
          <w:szCs w:val="24"/>
          <w:u w:val="single"/>
        </w:rPr>
        <w:t>Don’t be tofu.</w:t>
      </w:r>
      <w:r w:rsidRPr="003D0B8E">
        <w:rPr>
          <w:rFonts w:ascii="Footlight MT Light" w:hAnsi="Footlight MT Light"/>
          <w:color w:val="C00000"/>
          <w:sz w:val="24"/>
          <w:szCs w:val="24"/>
        </w:rPr>
        <w:t xml:space="preserve">  </w:t>
      </w:r>
      <w:r w:rsidRPr="00692C83">
        <w:rPr>
          <w:rFonts w:ascii="Footlight MT Light" w:hAnsi="Footlight MT Light"/>
          <w:sz w:val="24"/>
          <w:szCs w:val="24"/>
        </w:rPr>
        <w:t>Don’t be content to just adopt the qualities of your surroundings.  Immerse yourself in Jesus.  Adopt His qualities, and make them your own.</w:t>
      </w:r>
      <w:r w:rsidR="00A65D30" w:rsidRPr="00692C83">
        <w:rPr>
          <w:rFonts w:ascii="Footlight MT Light" w:hAnsi="Footlight MT Light"/>
          <w:sz w:val="24"/>
          <w:szCs w:val="24"/>
        </w:rPr>
        <w:t xml:space="preserve"> </w:t>
      </w:r>
    </w:p>
    <w:sectPr w:rsidR="00ED3036" w:rsidRPr="00692C83" w:rsidSect="00A65D30">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30"/>
    <w:rsid w:val="000177E4"/>
    <w:rsid w:val="003B3C3C"/>
    <w:rsid w:val="003D0B8E"/>
    <w:rsid w:val="00453442"/>
    <w:rsid w:val="00692C83"/>
    <w:rsid w:val="00A65D30"/>
    <w:rsid w:val="00DB7142"/>
    <w:rsid w:val="00ED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A6C6-BC8D-4558-8148-CABA55D6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2018-02-15T16:58:00Z</cp:lastPrinted>
  <dcterms:created xsi:type="dcterms:W3CDTF">2018-02-15T17:01:00Z</dcterms:created>
  <dcterms:modified xsi:type="dcterms:W3CDTF">2018-02-15T17:01:00Z</dcterms:modified>
</cp:coreProperties>
</file>