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50" w:rsidRPr="00BE7850" w:rsidRDefault="00BE7850" w:rsidP="00BE7850">
      <w:pPr>
        <w:spacing w:after="0" w:line="240" w:lineRule="auto"/>
        <w:jc w:val="center"/>
        <w:rPr>
          <w:rFonts w:ascii="PT Serif" w:eastAsia="Malgun Gothic Semilight" w:hAnsi="PT Serif" w:cs="Malgun Gothic Semilight"/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BE7850">
        <w:rPr>
          <w:rFonts w:ascii="PT Serif" w:eastAsia="Malgun Gothic Semilight" w:hAnsi="PT Serif" w:cs="Malgun Gothic Semilight"/>
          <w:b/>
          <w:color w:val="FF0000"/>
          <w:sz w:val="24"/>
          <w:szCs w:val="24"/>
          <w:u w:val="single"/>
        </w:rPr>
        <w:t xml:space="preserve">The Desperate Need </w:t>
      </w:r>
      <w:proofErr w:type="gramStart"/>
      <w:r w:rsidRPr="00BE7850">
        <w:rPr>
          <w:rFonts w:ascii="PT Serif" w:eastAsia="Malgun Gothic Semilight" w:hAnsi="PT Serif" w:cs="Malgun Gothic Semilight"/>
          <w:b/>
          <w:color w:val="FF0000"/>
          <w:sz w:val="24"/>
          <w:szCs w:val="24"/>
          <w:u w:val="single"/>
        </w:rPr>
        <w:t>Of</w:t>
      </w:r>
      <w:proofErr w:type="gramEnd"/>
      <w:r w:rsidRPr="00BE7850">
        <w:rPr>
          <w:rFonts w:ascii="PT Serif" w:eastAsia="Malgun Gothic Semilight" w:hAnsi="PT Serif" w:cs="Malgun Gothic Semilight"/>
          <w:b/>
          <w:color w:val="FF0000"/>
          <w:sz w:val="24"/>
          <w:szCs w:val="24"/>
          <w:u w:val="single"/>
        </w:rPr>
        <w:t xml:space="preserve"> This Generation</w:t>
      </w:r>
    </w:p>
    <w:p w:rsidR="00BE7850" w:rsidRDefault="00BE7850" w:rsidP="00BE7850">
      <w:pPr>
        <w:spacing w:after="0" w:line="240" w:lineRule="auto"/>
        <w:jc w:val="center"/>
        <w:rPr>
          <w:rFonts w:ascii="PT Serif" w:eastAsia="Malgun Gothic Semilight" w:hAnsi="PT Serif" w:cs="Malgun Gothic Semilight"/>
          <w:sz w:val="20"/>
          <w:szCs w:val="20"/>
        </w:rPr>
      </w:pPr>
      <w:r w:rsidRPr="00BE7850">
        <w:rPr>
          <w:rFonts w:ascii="PT Serif" w:eastAsia="Malgun Gothic Semilight" w:hAnsi="PT Serif" w:cs="Malgun Gothic Semilight"/>
          <w:sz w:val="20"/>
          <w:szCs w:val="20"/>
        </w:rPr>
        <w:t>Tim Jen</w:t>
      </w:r>
      <w:r>
        <w:rPr>
          <w:rFonts w:ascii="PT Serif" w:eastAsia="Malgun Gothic Semilight" w:hAnsi="PT Serif" w:cs="Malgun Gothic Semilight"/>
          <w:sz w:val="20"/>
          <w:szCs w:val="20"/>
        </w:rPr>
        <w:t>nings / Focus Magazine – Part #2</w:t>
      </w:r>
    </w:p>
    <w:p w:rsidR="00BE7850" w:rsidRDefault="00BE7850" w:rsidP="00BE7850">
      <w:pPr>
        <w:spacing w:after="0" w:line="240" w:lineRule="auto"/>
        <w:jc w:val="center"/>
        <w:rPr>
          <w:rFonts w:ascii="PT Serif" w:eastAsia="Malgun Gothic Semilight" w:hAnsi="PT Serif" w:cs="Malgun Gothic Semilight"/>
        </w:rPr>
      </w:pPr>
    </w:p>
    <w:p w:rsidR="002007E2" w:rsidRPr="002007E2" w:rsidRDefault="007F1215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>However, </w:t>
      </w:r>
      <w:r w:rsidR="002007E2" w:rsidRPr="002007E2">
        <w:rPr>
          <w:rFonts w:ascii="PT Serif" w:eastAsia="Malgun Gothic Semilight" w:hAnsi="PT Serif" w:cs="Malgun Gothic Semilight"/>
          <w:i/>
          <w:iCs/>
          <w:u w:val="single"/>
        </w:rPr>
        <w:t>the children</w:t>
      </w:r>
      <w:r w:rsidR="002007E2" w:rsidRPr="002007E2">
        <w:rPr>
          <w:rFonts w:ascii="PT Serif" w:eastAsia="Malgun Gothic Semilight" w:hAnsi="PT Serif" w:cs="Malgun Gothic Semilight"/>
        </w:rPr>
        <w:t xml:space="preserve"> bear some of the blame as well! </w:t>
      </w:r>
      <w:r w:rsidR="002007E2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When </w:t>
      </w:r>
      <w:r w:rsidR="002007E2" w:rsidRPr="007F1215">
        <w:rPr>
          <w:rFonts w:ascii="PT Serif" w:eastAsia="Malgun Gothic Semilight" w:hAnsi="PT Serif" w:cs="Malgun Gothic Semilight"/>
          <w:b/>
          <w:color w:val="00B050"/>
        </w:rPr>
        <w:t>Judges 2:10</w:t>
      </w:r>
      <w:r w:rsidR="002007E2" w:rsidRPr="007F1215">
        <w:rPr>
          <w:rFonts w:ascii="PT Serif" w:eastAsia="Malgun Gothic Semilight" w:hAnsi="PT Serif" w:cs="Malgun Gothic Semilight"/>
          <w:color w:val="00B050"/>
        </w:rPr>
        <w:t> </w:t>
      </w:r>
      <w:r w:rsidR="002007E2" w:rsidRPr="002007E2">
        <w:rPr>
          <w:rFonts w:ascii="PT Serif" w:eastAsia="Malgun Gothic Semilight" w:hAnsi="PT Serif" w:cs="Malgun Gothic Semilight"/>
        </w:rPr>
        <w:t>says, </w:t>
      </w:r>
      <w:r w:rsidR="002007E2" w:rsidRPr="007F1215">
        <w:rPr>
          <w:rFonts w:ascii="PT Serif" w:eastAsia="Malgun Gothic Semilight" w:hAnsi="PT Serif" w:cs="Malgun Gothic Semilight"/>
          <w:b/>
          <w:i/>
          <w:iCs/>
          <w:color w:val="00B050"/>
        </w:rPr>
        <w:t>“</w:t>
      </w:r>
      <w:r w:rsidRPr="007F1215">
        <w:rPr>
          <w:rFonts w:ascii="PT Serif" w:eastAsia="Malgun Gothic Semilight" w:hAnsi="PT Serif" w:cs="Malgun Gothic Semilight"/>
          <w:b/>
          <w:i/>
          <w:iCs/>
          <w:color w:val="00B050"/>
        </w:rPr>
        <w:t>They</w:t>
      </w:r>
      <w:r w:rsidR="002007E2" w:rsidRPr="007F1215">
        <w:rPr>
          <w:rFonts w:ascii="PT Serif" w:eastAsia="Malgun Gothic Semilight" w:hAnsi="PT Serif" w:cs="Malgun Gothic Semilight"/>
          <w:b/>
          <w:i/>
          <w:iCs/>
          <w:color w:val="00B050"/>
        </w:rPr>
        <w:t xml:space="preserve"> did not know the Lord”</w:t>
      </w:r>
      <w:r w:rsidRPr="007F1215">
        <w:rPr>
          <w:rFonts w:ascii="PT Serif" w:eastAsia="Malgun Gothic Semilight" w:hAnsi="PT Serif" w:cs="Malgun Gothic Semilight"/>
          <w:iCs/>
        </w:rPr>
        <w:t>,</w:t>
      </w:r>
      <w:r w:rsidR="002007E2" w:rsidRPr="002007E2">
        <w:rPr>
          <w:rFonts w:ascii="PT Serif" w:eastAsia="Malgun Gothic Semilight" w:hAnsi="PT Serif" w:cs="Malgun Gothic Semilight"/>
        </w:rPr>
        <w:t> it does not mean they didn’t know who God was.</w:t>
      </w:r>
      <w:r w:rsidR="00BE7850">
        <w:rPr>
          <w:rFonts w:ascii="PT Serif" w:eastAsia="Malgun Gothic Semilight" w:hAnsi="PT Serif" w:cs="Malgun Gothic Semilight"/>
          <w:b/>
          <w:bCs/>
          <w:vertAlign w:val="superscript"/>
        </w:rPr>
        <w:t xml:space="preserve"> </w:t>
      </w:r>
      <w:r w:rsidR="00BE7850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Throughout </w:t>
      </w:r>
      <w:r w:rsidR="002007E2" w:rsidRPr="00FD754D">
        <w:rPr>
          <w:rFonts w:ascii="PT Serif" w:eastAsia="Malgun Gothic Semilight" w:hAnsi="PT Serif" w:cs="Malgun Gothic Semilight"/>
          <w:u w:val="single"/>
        </w:rPr>
        <w:t>Judges</w:t>
      </w:r>
      <w:r w:rsidR="002007E2" w:rsidRPr="002007E2">
        <w:rPr>
          <w:rFonts w:ascii="PT Serif" w:eastAsia="Malgun Gothic Semilight" w:hAnsi="PT Serif" w:cs="Malgun Gothic Semilight"/>
        </w:rPr>
        <w:t xml:space="preserve"> they call out to Him. </w:t>
      </w:r>
      <w:r w:rsidR="00BE7850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It means the Lord didn’t matter to them. </w:t>
      </w:r>
      <w:r w:rsidR="00BE7850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He had no major influence in their lives. </w:t>
      </w:r>
      <w:r w:rsidR="00BE7850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They liked the ways of Canaanites! </w:t>
      </w:r>
      <w:r w:rsidR="00BE7850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They loved the idols of the land! </w:t>
      </w:r>
      <w:r w:rsidR="00BE7850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They found their security and pleasure from their possessions.</w:t>
      </w:r>
    </w:p>
    <w:p w:rsidR="002007E2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 xml:space="preserve">Every generation needs to rediscover a passion to know the Lord, personally and practically in every area of our lives.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But, wherever the social eclipses the spiritual and the superficial is preferred to the transformational, you will find a generation of spiritual failures.</w:t>
      </w:r>
    </w:p>
    <w:p w:rsidR="00BE7850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  <w:b/>
          <w:bCs/>
        </w:rPr>
      </w:pPr>
    </w:p>
    <w:p w:rsidR="002007E2" w:rsidRPr="007F1215" w:rsidRDefault="007F1215" w:rsidP="007F1215">
      <w:pPr>
        <w:spacing w:after="0" w:line="240" w:lineRule="auto"/>
        <w:jc w:val="center"/>
        <w:rPr>
          <w:rFonts w:ascii="PT Serif" w:eastAsia="Malgun Gothic Semilight" w:hAnsi="PT Serif" w:cs="Malgun Gothic Semilight"/>
          <w:color w:val="00B050"/>
          <w:u w:val="single"/>
        </w:rPr>
      </w:pPr>
      <w:r w:rsidRPr="007F1215">
        <w:rPr>
          <w:rFonts w:ascii="PT Serif" w:eastAsia="Malgun Gothic Semilight" w:hAnsi="PT Serif" w:cs="Malgun Gothic Semilight"/>
          <w:b/>
          <w:bCs/>
          <w:color w:val="FF0000"/>
          <w:u w:val="single"/>
        </w:rPr>
        <w:t>Be Different F</w:t>
      </w:r>
      <w:r w:rsidR="002007E2" w:rsidRPr="007F1215">
        <w:rPr>
          <w:rFonts w:ascii="PT Serif" w:eastAsia="Malgun Gothic Semilight" w:hAnsi="PT Serif" w:cs="Malgun Gothic Semilight"/>
          <w:b/>
          <w:bCs/>
          <w:color w:val="FF0000"/>
          <w:u w:val="single"/>
        </w:rPr>
        <w:t>rom Your World</w:t>
      </w:r>
    </w:p>
    <w:p w:rsidR="002007E2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>This generation has a pressing need to live differently from the world.</w:t>
      </w:r>
      <w:r>
        <w:rPr>
          <w:rFonts w:ascii="PT Serif" w:eastAsia="Malgun Gothic Semilight" w:hAnsi="PT Serif" w:cs="Malgun Gothic Semilight"/>
        </w:rPr>
        <w:t xml:space="preserve">  </w:t>
      </w:r>
      <w:r w:rsidR="002007E2" w:rsidRPr="002007E2">
        <w:rPr>
          <w:rFonts w:ascii="PT Serif" w:eastAsia="Malgun Gothic Semilight" w:hAnsi="PT Serif" w:cs="Malgun Gothic Semilight"/>
        </w:rPr>
        <w:t xml:space="preserve">“Third and fourth generation” Christians know the world is a spiritual graveyard, and yet they want to dress and act like a corpse! </w:t>
      </w:r>
      <w:r w:rsidR="007F1215"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In the same way, Israel knew the</w:t>
      </w:r>
      <w:r>
        <w:rPr>
          <w:rFonts w:ascii="PT Serif" w:eastAsia="Malgun Gothic Semilight" w:hAnsi="PT Serif" w:cs="Malgun Gothic Semilight"/>
        </w:rPr>
        <w:t xml:space="preserve"> Canaanites were under the judg</w:t>
      </w:r>
      <w:r w:rsidR="002007E2" w:rsidRPr="002007E2">
        <w:rPr>
          <w:rFonts w:ascii="PT Serif" w:eastAsia="Malgun Gothic Semilight" w:hAnsi="PT Serif" w:cs="Malgun Gothic Semilight"/>
        </w:rPr>
        <w:t xml:space="preserve">ment of God, yet they joined in their lifestyle and admired their idols.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God said,</w:t>
      </w:r>
      <w:r w:rsidR="007F1215">
        <w:rPr>
          <w:rFonts w:ascii="PT Serif" w:eastAsia="Malgun Gothic Semilight" w:hAnsi="PT Serif" w:cs="Malgun Gothic Semilight"/>
        </w:rPr>
        <w:t xml:space="preserve">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“I brought you up out of Egypt and led you into the land I s</w:t>
      </w:r>
      <w:r w:rsidR="007F1215">
        <w:rPr>
          <w:rFonts w:ascii="PT Serif" w:eastAsia="Malgun Gothic Semilight" w:hAnsi="PT Serif" w:cs="Malgun Gothic Semilight"/>
          <w:b/>
          <w:i/>
          <w:color w:val="00B050"/>
        </w:rPr>
        <w:t xml:space="preserve">wore to give to your ancestors. 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I said, ‘I will never break my covenant with you, </w:t>
      </w:r>
      <w:r w:rsidR="002007E2" w:rsidRPr="007F1215">
        <w:rPr>
          <w:rFonts w:ascii="PT Serif" w:eastAsia="Malgun Gothic Semilight" w:hAnsi="PT Serif" w:cs="Malgun Gothic Semilight"/>
          <w:b/>
          <w:bCs/>
          <w:i/>
          <w:color w:val="00B050"/>
          <w:vertAlign w:val="superscript"/>
        </w:rPr>
        <w:t>2 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 xml:space="preserve">and you shall not make a covenant with the people of this land, but you </w:t>
      </w:r>
      <w:r w:rsidR="007F1215">
        <w:rPr>
          <w:rFonts w:ascii="PT Serif" w:eastAsia="Malgun Gothic Semilight" w:hAnsi="PT Serif" w:cs="Malgun Gothic Semilight"/>
          <w:b/>
          <w:i/>
          <w:color w:val="00B050"/>
        </w:rPr>
        <w:t xml:space="preserve">shall break down their altars.’ 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 xml:space="preserve">Yet you have disobeyed me. </w:t>
      </w:r>
      <w:r w:rsidR="007F1215">
        <w:rPr>
          <w:rFonts w:ascii="PT Serif" w:eastAsia="Malgun Gothic Semilight" w:hAnsi="PT Serif" w:cs="Malgun Gothic Semilight"/>
          <w:b/>
          <w:i/>
          <w:color w:val="00B050"/>
        </w:rPr>
        <w:t xml:space="preserve">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Why have you done this?”</w:t>
      </w:r>
      <w:r w:rsidR="002007E2" w:rsidRPr="007F1215">
        <w:rPr>
          <w:rFonts w:ascii="PT Serif" w:eastAsia="Malgun Gothic Semilight" w:hAnsi="PT Serif" w:cs="Malgun Gothic Semilight"/>
          <w:color w:val="00B050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(</w:t>
      </w:r>
      <w:r w:rsidR="002007E2" w:rsidRPr="007F1215">
        <w:rPr>
          <w:rFonts w:ascii="PT Serif" w:eastAsia="Malgun Gothic Semilight" w:hAnsi="PT Serif" w:cs="Malgun Gothic Semilight"/>
          <w:b/>
          <w:color w:val="00B050"/>
        </w:rPr>
        <w:t>Judges 2:1-2</w:t>
      </w:r>
      <w:r w:rsidR="002007E2" w:rsidRPr="002007E2">
        <w:rPr>
          <w:rFonts w:ascii="PT Serif" w:eastAsia="Malgun Gothic Semilight" w:hAnsi="PT Serif" w:cs="Malgun Gothic Semilight"/>
        </w:rPr>
        <w:t>)</w:t>
      </w:r>
    </w:p>
    <w:p w:rsidR="002007E2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 xml:space="preserve">God asks our generation the same question!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We are rescued from the terrifying destiny of this world.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How then can we derive our pleasures from its values?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How can we align ourselves with its activities?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Are the delights of the Lord and the work of His kingdom not enough?</w:t>
      </w:r>
    </w:p>
    <w:p w:rsidR="002007E2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>The way to spiritual life for this generation is not by accommodating our faith to our lifestyles, but by conforming our lifestyles to the faith (</w:t>
      </w:r>
      <w:r w:rsidR="002007E2" w:rsidRPr="007F1215">
        <w:rPr>
          <w:rFonts w:ascii="PT Serif" w:eastAsia="Malgun Gothic Semilight" w:hAnsi="PT Serif" w:cs="Malgun Gothic Semilight"/>
          <w:b/>
          <w:color w:val="00B050"/>
        </w:rPr>
        <w:t>Rom. 12:1-2</w:t>
      </w:r>
      <w:r w:rsidR="002007E2" w:rsidRPr="002007E2">
        <w:rPr>
          <w:rFonts w:ascii="PT Serif" w:eastAsia="Malgun Gothic Semilight" w:hAnsi="PT Serif" w:cs="Malgun Gothic Semilight"/>
        </w:rPr>
        <w:t xml:space="preserve">)!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A generation that whines about how their religion is an intrusion to their happiness, is a generation headed for spiritual failure.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But, a generation that revels in the beauty of distinction will know the joy of spiritual life.</w:t>
      </w:r>
    </w:p>
    <w:p w:rsidR="00BE7850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  <w:b/>
          <w:bCs/>
        </w:rPr>
      </w:pPr>
    </w:p>
    <w:p w:rsidR="002007E2" w:rsidRPr="007F1215" w:rsidRDefault="007F1215" w:rsidP="007F1215">
      <w:pPr>
        <w:spacing w:after="0" w:line="240" w:lineRule="auto"/>
        <w:jc w:val="center"/>
        <w:rPr>
          <w:rFonts w:ascii="PT Serif" w:eastAsia="Malgun Gothic Semilight" w:hAnsi="PT Serif" w:cs="Malgun Gothic Semilight"/>
          <w:color w:val="FF0000"/>
          <w:u w:val="single"/>
        </w:rPr>
      </w:pPr>
      <w:r w:rsidRPr="007F1215">
        <w:rPr>
          <w:rFonts w:ascii="PT Serif" w:eastAsia="Malgun Gothic Semilight" w:hAnsi="PT Serif" w:cs="Malgun Gothic Semilight"/>
          <w:b/>
          <w:bCs/>
          <w:color w:val="FF0000"/>
          <w:u w:val="single"/>
        </w:rPr>
        <w:t>Serve T</w:t>
      </w:r>
      <w:r w:rsidR="002007E2" w:rsidRPr="007F1215">
        <w:rPr>
          <w:rFonts w:ascii="PT Serif" w:eastAsia="Malgun Gothic Semilight" w:hAnsi="PT Serif" w:cs="Malgun Gothic Semilight"/>
          <w:b/>
          <w:bCs/>
          <w:color w:val="FF0000"/>
          <w:u w:val="single"/>
        </w:rPr>
        <w:t>he Lord’s Purposes</w:t>
      </w:r>
    </w:p>
    <w:p w:rsidR="002007E2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>This generation doesn’t just need to </w:t>
      </w:r>
      <w:r w:rsidR="002007E2" w:rsidRPr="002007E2">
        <w:rPr>
          <w:rFonts w:ascii="PT Serif" w:eastAsia="Malgun Gothic Semilight" w:hAnsi="PT Serif" w:cs="Malgun Gothic Semilight"/>
          <w:i/>
          <w:iCs/>
        </w:rPr>
        <w:t>know</w:t>
      </w:r>
      <w:r w:rsidR="00FD754D">
        <w:rPr>
          <w:rFonts w:ascii="PT Serif" w:eastAsia="Malgun Gothic Semilight" w:hAnsi="PT Serif" w:cs="Malgun Gothic Semilight"/>
        </w:rPr>
        <w:t xml:space="preserve"> something, </w:t>
      </w:r>
      <w:r w:rsidR="002007E2" w:rsidRPr="002007E2">
        <w:rPr>
          <w:rFonts w:ascii="PT Serif" w:eastAsia="Malgun Gothic Semilight" w:hAnsi="PT Serif" w:cs="Malgun Gothic Semilight"/>
        </w:rPr>
        <w:t>or </w:t>
      </w:r>
      <w:r w:rsidR="002007E2" w:rsidRPr="002007E2">
        <w:rPr>
          <w:rFonts w:ascii="PT Serif" w:eastAsia="Malgun Gothic Semilight" w:hAnsi="PT Serif" w:cs="Malgun Gothic Semilight"/>
          <w:i/>
          <w:iCs/>
        </w:rPr>
        <w:t>refrain</w:t>
      </w:r>
      <w:r w:rsidR="00FD754D">
        <w:rPr>
          <w:rFonts w:ascii="PT Serif" w:eastAsia="Malgun Gothic Semilight" w:hAnsi="PT Serif" w:cs="Malgun Gothic Semilight"/>
        </w:rPr>
        <w:t xml:space="preserve"> from </w:t>
      </w:r>
      <w:r w:rsidR="002007E2" w:rsidRPr="002007E2">
        <w:rPr>
          <w:rFonts w:ascii="PT Serif" w:eastAsia="Malgun Gothic Semilight" w:hAnsi="PT Serif" w:cs="Malgun Gothic Semilight"/>
        </w:rPr>
        <w:t>something, it urgently needs to </w:t>
      </w:r>
      <w:r w:rsidR="002007E2" w:rsidRPr="002007E2">
        <w:rPr>
          <w:rFonts w:ascii="PT Serif" w:eastAsia="Malgun Gothic Semilight" w:hAnsi="PT Serif" w:cs="Malgun Gothic Semilight"/>
          <w:i/>
          <w:iCs/>
        </w:rPr>
        <w:t>do</w:t>
      </w:r>
      <w:r>
        <w:rPr>
          <w:rFonts w:ascii="PT Serif" w:eastAsia="Malgun Gothic Semilight" w:hAnsi="PT Serif" w:cs="Malgun Gothic Semilight"/>
          <w:i/>
          <w:iCs/>
        </w:rPr>
        <w:t xml:space="preserve"> </w:t>
      </w:r>
      <w:r w:rsidR="00FD754D">
        <w:rPr>
          <w:rFonts w:ascii="PT Serif" w:eastAsia="Malgun Gothic Semilight" w:hAnsi="PT Serif" w:cs="Malgun Gothic Semilight"/>
        </w:rPr>
        <w:t xml:space="preserve">something!  </w:t>
      </w:r>
      <w:r w:rsidR="002007E2" w:rsidRPr="002007E2">
        <w:rPr>
          <w:rFonts w:ascii="PT Serif" w:eastAsia="Malgun Gothic Semilight" w:hAnsi="PT Serif" w:cs="Malgun Gothic Semilight"/>
        </w:rPr>
        <w:t xml:space="preserve">It needs to serve the Lord’s purposes, not its own.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The divine journalist of </w:t>
      </w:r>
      <w:r w:rsidR="002007E2" w:rsidRPr="00FD754D">
        <w:rPr>
          <w:rFonts w:ascii="PT Serif" w:eastAsia="Malgun Gothic Semilight" w:hAnsi="PT Serif" w:cs="Malgun Gothic Semilight"/>
          <w:u w:val="single"/>
        </w:rPr>
        <w:t>Judges</w:t>
      </w:r>
      <w:r w:rsidR="002007E2" w:rsidRPr="002007E2">
        <w:rPr>
          <w:rFonts w:ascii="PT Serif" w:eastAsia="Malgun Gothic Semilight" w:hAnsi="PT Serif" w:cs="Malgun Gothic Semilight"/>
        </w:rPr>
        <w:t xml:space="preserve"> identifies this as a defining characteristic of a faithful generation.</w:t>
      </w:r>
      <w:r w:rsidR="00FD754D">
        <w:rPr>
          <w:rFonts w:ascii="PT Serif" w:eastAsia="Malgun Gothic Semilight" w:hAnsi="PT Serif" w:cs="Malgun Gothic Semilight"/>
        </w:rPr>
        <w:t xml:space="preserve"> 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“The people </w:t>
      </w:r>
      <w:r w:rsidR="002007E2" w:rsidRPr="007F1215">
        <w:rPr>
          <w:rFonts w:ascii="PT Serif" w:eastAsia="Malgun Gothic Semilight" w:hAnsi="PT Serif" w:cs="Malgun Gothic Semilight"/>
          <w:b/>
          <w:bCs/>
          <w:i/>
          <w:color w:val="00B050"/>
        </w:rPr>
        <w:t>served the Lord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 throughout the lifetime of Joshua and of the elders who outlived him and who had seen all the great things the Lord had done for Israel. </w:t>
      </w:r>
      <w:r w:rsidR="002007E2" w:rsidRPr="007F1215">
        <w:rPr>
          <w:rFonts w:ascii="PT Serif" w:eastAsia="Malgun Gothic Semilight" w:hAnsi="PT Serif" w:cs="Malgun Gothic Semilight"/>
          <w:b/>
          <w:bCs/>
          <w:i/>
          <w:color w:val="00B050"/>
          <w:vertAlign w:val="superscript"/>
        </w:rPr>
        <w:t>8 </w:t>
      </w:r>
      <w:r w:rsidR="00FD754D">
        <w:rPr>
          <w:rFonts w:ascii="PT Serif" w:eastAsia="Malgun Gothic Semilight" w:hAnsi="PT Serif" w:cs="Malgun Gothic Semilight"/>
          <w:b/>
          <w:bCs/>
          <w:i/>
          <w:color w:val="00B050"/>
          <w:vertAlign w:val="superscript"/>
        </w:rPr>
        <w:t xml:space="preserve">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Joshua son of Nun, the </w:t>
      </w:r>
      <w:r w:rsidR="002007E2" w:rsidRPr="007F1215">
        <w:rPr>
          <w:rFonts w:ascii="PT Serif" w:eastAsia="Malgun Gothic Semilight" w:hAnsi="PT Serif" w:cs="Malgun Gothic Semilight"/>
          <w:b/>
          <w:bCs/>
          <w:i/>
          <w:color w:val="00B050"/>
        </w:rPr>
        <w:t>servant of the Lord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, died at the age of a hundred and ten”</w:t>
      </w:r>
      <w:r w:rsidR="002007E2" w:rsidRPr="007F1215">
        <w:rPr>
          <w:rFonts w:ascii="PT Serif" w:eastAsia="Malgun Gothic Semilight" w:hAnsi="PT Serif" w:cs="Malgun Gothic Semilight"/>
          <w:color w:val="00B050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(</w:t>
      </w:r>
      <w:r w:rsidR="002007E2" w:rsidRPr="007F1215">
        <w:rPr>
          <w:rFonts w:ascii="PT Serif" w:eastAsia="Malgun Gothic Semilight" w:hAnsi="PT Serif" w:cs="Malgun Gothic Semilight"/>
          <w:b/>
          <w:color w:val="00B050"/>
        </w:rPr>
        <w:t>Judges 2:7-8</w:t>
      </w:r>
      <w:r w:rsidR="002007E2" w:rsidRPr="002007E2">
        <w:rPr>
          <w:rFonts w:ascii="PT Serif" w:eastAsia="Malgun Gothic Semilight" w:hAnsi="PT Serif" w:cs="Malgun Gothic Semilight"/>
        </w:rPr>
        <w:t>)</w:t>
      </w:r>
      <w:r w:rsidR="007F1215">
        <w:rPr>
          <w:rFonts w:ascii="PT Serif" w:eastAsia="Malgun Gothic Semilight" w:hAnsi="PT Serif" w:cs="Malgun Gothic Semilight"/>
        </w:rPr>
        <w:t xml:space="preserve">.  </w:t>
      </w:r>
      <w:r w:rsidR="002007E2" w:rsidRPr="002007E2">
        <w:rPr>
          <w:rFonts w:ascii="PT Serif" w:eastAsia="Malgun Gothic Semilight" w:hAnsi="PT Serif" w:cs="Malgun Gothic Semilight"/>
        </w:rPr>
        <w:t xml:space="preserve">“They served the Lord” is sung at the beginning of </w:t>
      </w:r>
      <w:r w:rsidR="002007E2" w:rsidRPr="00FD754D">
        <w:rPr>
          <w:rFonts w:ascii="PT Serif" w:eastAsia="Malgun Gothic Semilight" w:hAnsi="PT Serif" w:cs="Malgun Gothic Semilight"/>
          <w:u w:val="single"/>
        </w:rPr>
        <w:t>Judges</w:t>
      </w:r>
      <w:r w:rsidR="002007E2" w:rsidRPr="002007E2">
        <w:rPr>
          <w:rFonts w:ascii="PT Serif" w:eastAsia="Malgun Gothic Semilight" w:hAnsi="PT Serif" w:cs="Malgun Gothic Semilight"/>
        </w:rPr>
        <w:t xml:space="preserve">, and it is answered by an opposite refrain at the end of </w:t>
      </w:r>
      <w:r w:rsidR="002007E2" w:rsidRPr="00FD754D">
        <w:rPr>
          <w:rFonts w:ascii="PT Serif" w:eastAsia="Malgun Gothic Semilight" w:hAnsi="PT Serif" w:cs="Malgun Gothic Semilight"/>
          <w:u w:val="single"/>
        </w:rPr>
        <w:t>Judges</w:t>
      </w:r>
      <w:r w:rsidR="002007E2" w:rsidRPr="002007E2">
        <w:rPr>
          <w:rFonts w:ascii="PT Serif" w:eastAsia="Malgun Gothic Semilight" w:hAnsi="PT Serif" w:cs="Malgun Gothic Semilight"/>
        </w:rPr>
        <w:t xml:space="preserve">,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“everyone did what was right in their own eyes”</w:t>
      </w:r>
      <w:r w:rsidR="002007E2" w:rsidRPr="007F1215">
        <w:rPr>
          <w:rFonts w:ascii="PT Serif" w:eastAsia="Malgun Gothic Semilight" w:hAnsi="PT Serif" w:cs="Malgun Gothic Semilight"/>
          <w:color w:val="00B050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(</w:t>
      </w:r>
      <w:r w:rsidR="002007E2" w:rsidRPr="007F1215">
        <w:rPr>
          <w:rFonts w:ascii="PT Serif" w:eastAsia="Malgun Gothic Semilight" w:hAnsi="PT Serif" w:cs="Malgun Gothic Semilight"/>
          <w:b/>
          <w:color w:val="00B050"/>
        </w:rPr>
        <w:t>Judges. 17:6; 21:25</w:t>
      </w:r>
      <w:r w:rsidR="002007E2" w:rsidRPr="002007E2">
        <w:rPr>
          <w:rFonts w:ascii="PT Serif" w:eastAsia="Malgun Gothic Semilight" w:hAnsi="PT Serif" w:cs="Malgun Gothic Semilight"/>
        </w:rPr>
        <w:t>).</w:t>
      </w:r>
    </w:p>
    <w:p w:rsidR="002007E2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 xml:space="preserve">We have a choice.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Serve the Lord, or serve ourselves.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The pressing need of our generation is to make that choice.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At the end of the day are we more concerned with our glory or God’s; our kingdom or His, our work or His mission?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 xml:space="preserve"> One path leads to the tragic return to the days of the Judges.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The other path leads to the useful life and hopeful death of Joshua.</w:t>
      </w:r>
      <w:r>
        <w:rPr>
          <w:rFonts w:ascii="PT Serif" w:eastAsia="Malgun Gothic Semilight" w:hAnsi="PT Serif" w:cs="Malgun Gothic Semilight"/>
        </w:rPr>
        <w:t xml:space="preserve">  </w:t>
      </w:r>
      <w:r w:rsidR="002007E2" w:rsidRPr="002007E2">
        <w:rPr>
          <w:rFonts w:ascii="PT Serif" w:eastAsia="Malgun Gothic Semilight" w:hAnsi="PT Serif" w:cs="Malgun Gothic Semilight"/>
        </w:rPr>
        <w:t xml:space="preserve">With one breath God could sweep </w:t>
      </w:r>
      <w:r w:rsidR="00FD754D">
        <w:rPr>
          <w:rFonts w:ascii="PT Serif" w:eastAsia="Malgun Gothic Semilight" w:hAnsi="PT Serif" w:cs="Malgun Gothic Semilight"/>
        </w:rPr>
        <w:t xml:space="preserve">the Canaanites out of the land.  </w:t>
      </w:r>
      <w:r w:rsidR="002007E2" w:rsidRPr="002007E2">
        <w:rPr>
          <w:rFonts w:ascii="PT Serif" w:eastAsia="Malgun Gothic Semilight" w:hAnsi="PT Serif" w:cs="Malgun Gothic Semilight"/>
        </w:rPr>
        <w:t>Wh</w:t>
      </w:r>
      <w:r w:rsidR="00FD754D">
        <w:rPr>
          <w:rFonts w:ascii="PT Serif" w:eastAsia="Malgun Gothic Semilight" w:hAnsi="PT Serif" w:cs="Malgun Gothic Semilight"/>
        </w:rPr>
        <w:t xml:space="preserve">y did God allow them to remain?  </w:t>
      </w:r>
      <w:r w:rsidR="002007E2" w:rsidRPr="002007E2">
        <w:rPr>
          <w:rFonts w:ascii="PT Serif" w:eastAsia="Malgun Gothic Semilight" w:hAnsi="PT Serif" w:cs="Malgun Gothic Semilight"/>
        </w:rPr>
        <w:t>God tells us,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7F1215">
        <w:rPr>
          <w:rFonts w:ascii="PT Serif" w:eastAsia="Malgun Gothic Semilight" w:hAnsi="PT Serif" w:cs="Malgun Gothic Semilight"/>
          <w:b/>
          <w:i/>
          <w:color w:val="00B050"/>
        </w:rPr>
        <w:t>“I will use them to test Israel and see whether they will keep the way of the Lord and walk in it as their forefathers did.”</w:t>
      </w:r>
      <w:r w:rsidR="002007E2" w:rsidRPr="007F1215">
        <w:rPr>
          <w:rFonts w:ascii="PT Serif" w:eastAsia="Malgun Gothic Semilight" w:hAnsi="PT Serif" w:cs="Malgun Gothic Semilight"/>
          <w:color w:val="00B050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(</w:t>
      </w:r>
      <w:r w:rsidR="002007E2" w:rsidRPr="007F1215">
        <w:rPr>
          <w:rFonts w:ascii="PT Serif" w:eastAsia="Malgun Gothic Semilight" w:hAnsi="PT Serif" w:cs="Malgun Gothic Semilight"/>
          <w:b/>
          <w:color w:val="00B050"/>
        </w:rPr>
        <w:t>Judges 2:22; 3:4</w:t>
      </w:r>
      <w:r w:rsidR="002007E2" w:rsidRPr="002007E2">
        <w:rPr>
          <w:rFonts w:ascii="PT Serif" w:eastAsia="Malgun Gothic Semilight" w:hAnsi="PT Serif" w:cs="Malgun Gothic Semilight"/>
        </w:rPr>
        <w:t>)</w:t>
      </w:r>
    </w:p>
    <w:p w:rsidR="007A2390" w:rsidRPr="002007E2" w:rsidRDefault="00BE7850" w:rsidP="007F1215">
      <w:pPr>
        <w:spacing w:after="0" w:line="240" w:lineRule="auto"/>
        <w:jc w:val="both"/>
        <w:rPr>
          <w:rFonts w:ascii="PT Serif" w:eastAsia="Malgun Gothic Semilight" w:hAnsi="PT Serif" w:cs="Malgun Gothic Semilight"/>
        </w:rPr>
      </w:pPr>
      <w:r>
        <w:rPr>
          <w:rFonts w:ascii="PT Serif" w:eastAsia="Malgun Gothic Semilight" w:hAnsi="PT Serif" w:cs="Malgun Gothic Semilight"/>
        </w:rPr>
        <w:tab/>
      </w:r>
      <w:r w:rsidR="002007E2" w:rsidRPr="002007E2">
        <w:rPr>
          <w:rFonts w:ascii="PT Serif" w:eastAsia="Malgun Gothic Semilight" w:hAnsi="PT Serif" w:cs="Malgun Gothic Semilight"/>
        </w:rPr>
        <w:t xml:space="preserve">Each generation must make the choice, “Will I live for my God, or for this world?” </w:t>
      </w:r>
      <w:r>
        <w:rPr>
          <w:rFonts w:ascii="PT Serif" w:eastAsia="Malgun Gothic Semilight" w:hAnsi="PT Serif" w:cs="Malgun Gothic Semilight"/>
        </w:rPr>
        <w:t xml:space="preserve"> </w:t>
      </w:r>
      <w:r w:rsidR="002007E2" w:rsidRPr="002007E2">
        <w:rPr>
          <w:rFonts w:ascii="PT Serif" w:eastAsia="Malgun Gothic Semilight" w:hAnsi="PT Serif" w:cs="Malgun Gothic Semilight"/>
        </w:rPr>
        <w:t>What choice are you making</w:t>
      </w:r>
      <w:r w:rsidR="007F1215">
        <w:rPr>
          <w:rFonts w:ascii="PT Serif" w:eastAsia="Malgun Gothic Semilight" w:hAnsi="PT Serif" w:cs="Malgun Gothic Semilight"/>
        </w:rPr>
        <w:t>?</w:t>
      </w:r>
      <w:r w:rsidR="007F1215" w:rsidRPr="002007E2">
        <w:rPr>
          <w:rFonts w:ascii="PT Serif" w:eastAsia="Malgun Gothic Semilight" w:hAnsi="PT Serif" w:cs="Malgun Gothic Semilight"/>
        </w:rPr>
        <w:t xml:space="preserve"> </w:t>
      </w:r>
    </w:p>
    <w:sectPr w:rsidR="007A2390" w:rsidRPr="002007E2" w:rsidSect="002007E2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2"/>
    <w:rsid w:val="002007E2"/>
    <w:rsid w:val="007177F9"/>
    <w:rsid w:val="007A2390"/>
    <w:rsid w:val="007F1215"/>
    <w:rsid w:val="00971102"/>
    <w:rsid w:val="00BE7850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7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7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2017-12-07T17:35:00Z</cp:lastPrinted>
  <dcterms:created xsi:type="dcterms:W3CDTF">2017-12-07T17:47:00Z</dcterms:created>
  <dcterms:modified xsi:type="dcterms:W3CDTF">2017-12-07T17:47:00Z</dcterms:modified>
</cp:coreProperties>
</file>