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A36EF" w14:textId="77777777" w:rsidR="00623CB0" w:rsidRDefault="00623CB0" w:rsidP="00623CB0">
      <w:pPr>
        <w:pBdr>
          <w:top w:val="thinThickSmallGap" w:sz="24" w:space="1" w:color="C00000"/>
          <w:left w:val="thinThickSmallGap" w:sz="24" w:space="4" w:color="C00000"/>
          <w:bottom w:val="thickThinSmallGap" w:sz="24" w:space="1" w:color="C00000"/>
          <w:right w:val="thickThinSmallGap" w:sz="24" w:space="4" w:color="C00000"/>
        </w:pBdr>
        <w:shd w:val="clear" w:color="auto" w:fill="F3EBF9"/>
        <w:jc w:val="center"/>
        <w:rPr>
          <w:rFonts w:ascii="Constantia" w:hAnsi="Constantia"/>
          <w:b/>
          <w:color w:val="C00000"/>
          <w:sz w:val="8"/>
          <w:szCs w:val="8"/>
          <w:u w:val="single"/>
        </w:rPr>
      </w:pPr>
    </w:p>
    <w:p w14:paraId="3A0F1E27" w14:textId="30C0129D" w:rsidR="00623CB0" w:rsidRPr="00623CB0" w:rsidRDefault="00623CB0" w:rsidP="00623CB0">
      <w:pPr>
        <w:pBdr>
          <w:top w:val="thinThickSmallGap" w:sz="24" w:space="1" w:color="C00000"/>
          <w:left w:val="thinThickSmallGap" w:sz="24" w:space="4" w:color="C00000"/>
          <w:bottom w:val="thickThinSmallGap" w:sz="24" w:space="1" w:color="C00000"/>
          <w:right w:val="thickThinSmallGap" w:sz="24" w:space="4" w:color="C00000"/>
        </w:pBdr>
        <w:shd w:val="clear" w:color="auto" w:fill="F3EBF9"/>
        <w:jc w:val="center"/>
        <w:rPr>
          <w:rFonts w:ascii="Constantia" w:hAnsi="Constantia"/>
          <w:b/>
          <w:color w:val="C00000"/>
          <w:sz w:val="36"/>
          <w:szCs w:val="36"/>
          <w:u w:val="single"/>
        </w:rPr>
      </w:pPr>
      <w:r w:rsidRPr="00623CB0">
        <w:rPr>
          <w:rFonts w:ascii="Constantia" w:hAnsi="Constantia"/>
          <w:b/>
          <w:color w:val="C00000"/>
          <w:sz w:val="36"/>
          <w:szCs w:val="36"/>
          <w:u w:val="single"/>
        </w:rPr>
        <w:t xml:space="preserve">Lessons From The </w:t>
      </w:r>
      <w:r w:rsidR="00FB7251" w:rsidRPr="00623CB0">
        <w:rPr>
          <w:rFonts w:ascii="Constantia" w:hAnsi="Constantia"/>
          <w:b/>
          <w:color w:val="C00000"/>
          <w:sz w:val="36"/>
          <w:szCs w:val="36"/>
          <w:u w:val="single"/>
        </w:rPr>
        <w:t>Melodeon</w:t>
      </w:r>
      <w:r w:rsidRPr="00623CB0">
        <w:rPr>
          <w:rFonts w:ascii="Constantia" w:hAnsi="Constantia"/>
          <w:b/>
          <w:color w:val="C00000"/>
          <w:sz w:val="36"/>
          <w:szCs w:val="36"/>
          <w:u w:val="single"/>
        </w:rPr>
        <w:t xml:space="preserve"> At Midway – Part #1</w:t>
      </w:r>
    </w:p>
    <w:p w14:paraId="36174AE2" w14:textId="070E8DB0" w:rsidR="00623CB0" w:rsidRPr="00623CB0" w:rsidRDefault="00623CB0" w:rsidP="00623CB0">
      <w:pPr>
        <w:pBdr>
          <w:top w:val="thinThickSmallGap" w:sz="24" w:space="1" w:color="C00000"/>
          <w:left w:val="thinThickSmallGap" w:sz="24" w:space="4" w:color="C00000"/>
          <w:bottom w:val="thickThinSmallGap" w:sz="24" w:space="1" w:color="C00000"/>
          <w:right w:val="thickThinSmallGap" w:sz="24" w:space="4" w:color="C00000"/>
        </w:pBdr>
        <w:shd w:val="clear" w:color="auto" w:fill="F3EBF9"/>
        <w:jc w:val="center"/>
        <w:rPr>
          <w:rFonts w:ascii="Constantia" w:hAnsi="Constantia"/>
        </w:rPr>
      </w:pPr>
      <w:r w:rsidRPr="00623CB0">
        <w:rPr>
          <w:rFonts w:ascii="Constantia" w:hAnsi="Constantia"/>
        </w:rPr>
        <w:t xml:space="preserve">Andy Sochor – conclusion </w:t>
      </w:r>
      <w:r w:rsidR="00FB7251">
        <w:rPr>
          <w:rFonts w:ascii="Constantia" w:hAnsi="Constantia"/>
        </w:rPr>
        <w:t>to part #1</w:t>
      </w:r>
    </w:p>
    <w:p w14:paraId="19F7CC9B" w14:textId="1D8B9358" w:rsidR="00623CB0" w:rsidRDefault="00623CB0" w:rsidP="00623CB0">
      <w:pPr>
        <w:pBdr>
          <w:top w:val="thinThickSmallGap" w:sz="24" w:space="1" w:color="C00000"/>
          <w:left w:val="thinThickSmallGap" w:sz="24" w:space="4" w:color="C00000"/>
          <w:bottom w:val="thickThinSmallGap" w:sz="24" w:space="1" w:color="C00000"/>
          <w:right w:val="thickThinSmallGap" w:sz="24" w:space="4" w:color="C00000"/>
        </w:pBdr>
        <w:shd w:val="clear" w:color="auto" w:fill="F3EBF9"/>
        <w:jc w:val="center"/>
      </w:pPr>
      <w:r>
        <w:rPr>
          <w:noProof/>
        </w:rPr>
        <w:drawing>
          <wp:inline distT="0" distB="0" distL="0" distR="0" wp14:anchorId="303CB92A" wp14:editId="2D800648">
            <wp:extent cx="2788920" cy="1953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8920" cy="1953504"/>
                    </a:xfrm>
                    <a:prstGeom prst="rect">
                      <a:avLst/>
                    </a:prstGeom>
                    <a:noFill/>
                  </pic:spPr>
                </pic:pic>
              </a:graphicData>
            </a:graphic>
          </wp:inline>
        </w:drawing>
      </w:r>
    </w:p>
    <w:p w14:paraId="703B5A93" w14:textId="0D9591E1" w:rsidR="00623CB0" w:rsidRPr="00623CB0" w:rsidRDefault="00623CB0" w:rsidP="00623CB0">
      <w:pPr>
        <w:pBdr>
          <w:top w:val="thinThickSmallGap" w:sz="24" w:space="1" w:color="C00000"/>
          <w:left w:val="thinThickSmallGap" w:sz="24" w:space="4" w:color="C00000"/>
          <w:bottom w:val="thickThinSmallGap" w:sz="24" w:space="1" w:color="C00000"/>
          <w:right w:val="thickThinSmallGap" w:sz="24" w:space="4" w:color="C00000"/>
        </w:pBdr>
        <w:shd w:val="clear" w:color="auto" w:fill="F3EBF9"/>
        <w:rPr>
          <w:rFonts w:ascii="Constantia" w:hAnsi="Constantia"/>
          <w:sz w:val="26"/>
          <w:szCs w:val="26"/>
        </w:rPr>
      </w:pPr>
      <w:r>
        <w:rPr>
          <w:rFonts w:ascii="Constantia" w:hAnsi="Constantia"/>
          <w:sz w:val="26"/>
          <w:szCs w:val="26"/>
        </w:rPr>
        <w:tab/>
      </w:r>
      <w:r>
        <w:rPr>
          <w:rFonts w:ascii="Constantia" w:hAnsi="Constantia"/>
          <w:sz w:val="26"/>
          <w:szCs w:val="26"/>
        </w:rPr>
        <w:tab/>
      </w:r>
      <w:r w:rsidRPr="00623CB0">
        <w:rPr>
          <w:rFonts w:ascii="Constantia" w:hAnsi="Constantia"/>
          <w:sz w:val="26"/>
          <w:szCs w:val="26"/>
        </w:rPr>
        <w:t xml:space="preserve">The New Testament teaches that we are to sing. </w:t>
      </w:r>
      <w:r>
        <w:rPr>
          <w:rFonts w:ascii="Constantia" w:hAnsi="Constantia"/>
          <w:sz w:val="26"/>
          <w:szCs w:val="26"/>
        </w:rPr>
        <w:t xml:space="preserve"> </w:t>
      </w:r>
      <w:r w:rsidRPr="00623CB0">
        <w:rPr>
          <w:rFonts w:ascii="Constantia" w:hAnsi="Constantia"/>
          <w:sz w:val="26"/>
          <w:szCs w:val="26"/>
        </w:rPr>
        <w:t xml:space="preserve">Paul wrote, </w:t>
      </w:r>
      <w:r w:rsidRPr="00623CB0">
        <w:rPr>
          <w:rFonts w:ascii="Constantia" w:hAnsi="Constantia"/>
          <w:b/>
          <w:i/>
          <w:color w:val="C00000"/>
          <w:sz w:val="26"/>
          <w:szCs w:val="26"/>
        </w:rPr>
        <w:t>“Let the word of Christ richly dwell within you, with all wisdom teaching and admonishing one another with psalms and hymns and spiritual songs, singing with thankfulness in your hearts to God”</w:t>
      </w:r>
      <w:r w:rsidRPr="00623CB0">
        <w:rPr>
          <w:rFonts w:ascii="Constantia" w:hAnsi="Constantia"/>
          <w:color w:val="C00000"/>
          <w:sz w:val="26"/>
          <w:szCs w:val="26"/>
        </w:rPr>
        <w:t xml:space="preserve"> </w:t>
      </w:r>
      <w:r w:rsidRPr="00623CB0">
        <w:rPr>
          <w:rFonts w:ascii="Constantia" w:hAnsi="Constantia"/>
          <w:sz w:val="26"/>
          <w:szCs w:val="26"/>
        </w:rPr>
        <w:t>(</w:t>
      </w:r>
      <w:r w:rsidRPr="00623CB0">
        <w:rPr>
          <w:rFonts w:ascii="Constantia" w:hAnsi="Constantia"/>
          <w:b/>
          <w:color w:val="C00000"/>
          <w:sz w:val="26"/>
          <w:szCs w:val="26"/>
        </w:rPr>
        <w:t>Colossians 3:16; cf. Ephesians 5:19</w:t>
      </w:r>
      <w:r w:rsidRPr="00623CB0">
        <w:rPr>
          <w:rFonts w:ascii="Constantia" w:hAnsi="Constantia"/>
          <w:sz w:val="26"/>
          <w:szCs w:val="26"/>
        </w:rPr>
        <w:t xml:space="preserve">). </w:t>
      </w:r>
      <w:r>
        <w:rPr>
          <w:rFonts w:ascii="Constantia" w:hAnsi="Constantia"/>
          <w:sz w:val="26"/>
          <w:szCs w:val="26"/>
        </w:rPr>
        <w:t xml:space="preserve"> </w:t>
      </w:r>
      <w:r w:rsidRPr="00623CB0">
        <w:rPr>
          <w:rFonts w:ascii="Constantia" w:hAnsi="Constantia"/>
          <w:sz w:val="26"/>
          <w:szCs w:val="26"/>
        </w:rPr>
        <w:t>The pur</w:t>
      </w:r>
      <w:r>
        <w:rPr>
          <w:rFonts w:ascii="Constantia" w:hAnsi="Constantia"/>
          <w:sz w:val="26"/>
          <w:szCs w:val="26"/>
        </w:rPr>
        <w:t>pose behind singing is twofold:</w:t>
      </w:r>
      <w:r w:rsidRPr="00623CB0">
        <w:rPr>
          <w:rFonts w:ascii="Constantia" w:hAnsi="Constantia"/>
          <w:sz w:val="26"/>
          <w:szCs w:val="26"/>
        </w:rPr>
        <w:t xml:space="preserve"> to offer praise to God and to teach and admonish our brethren. </w:t>
      </w:r>
      <w:r>
        <w:rPr>
          <w:rFonts w:ascii="Constantia" w:hAnsi="Constantia"/>
          <w:sz w:val="26"/>
          <w:szCs w:val="26"/>
        </w:rPr>
        <w:t xml:space="preserve"> </w:t>
      </w:r>
      <w:r w:rsidRPr="00623CB0">
        <w:rPr>
          <w:rFonts w:ascii="Constantia" w:hAnsi="Constantia"/>
          <w:sz w:val="26"/>
          <w:szCs w:val="26"/>
        </w:rPr>
        <w:t xml:space="preserve">Nowhere in the New Testament does it say anything about singing needing to be pleasing to our ears. </w:t>
      </w:r>
      <w:r>
        <w:rPr>
          <w:rFonts w:ascii="Constantia" w:hAnsi="Constantia"/>
          <w:sz w:val="26"/>
          <w:szCs w:val="26"/>
        </w:rPr>
        <w:t xml:space="preserve"> </w:t>
      </w:r>
      <w:r w:rsidRPr="00623CB0">
        <w:rPr>
          <w:rFonts w:ascii="Constantia" w:hAnsi="Constantia"/>
          <w:sz w:val="26"/>
          <w:szCs w:val="26"/>
        </w:rPr>
        <w:t xml:space="preserve">The ability of one to carry a tune is not necessary to obey Paul’s instruction. </w:t>
      </w:r>
      <w:r>
        <w:rPr>
          <w:rFonts w:ascii="Constantia" w:hAnsi="Constantia"/>
          <w:sz w:val="26"/>
          <w:szCs w:val="26"/>
        </w:rPr>
        <w:t xml:space="preserve"> </w:t>
      </w:r>
      <w:r w:rsidRPr="00623CB0">
        <w:rPr>
          <w:rFonts w:ascii="Constantia" w:hAnsi="Constantia"/>
          <w:sz w:val="26"/>
          <w:szCs w:val="26"/>
        </w:rPr>
        <w:t xml:space="preserve">Might we prefer good singing? Of course, but we are not to depart from the pattern based upon our preference. </w:t>
      </w:r>
      <w:r>
        <w:rPr>
          <w:rFonts w:ascii="Constantia" w:hAnsi="Constantia"/>
          <w:sz w:val="26"/>
          <w:szCs w:val="26"/>
        </w:rPr>
        <w:t xml:space="preserve"> </w:t>
      </w:r>
      <w:r w:rsidRPr="00623CB0">
        <w:rPr>
          <w:rFonts w:ascii="Constantia" w:hAnsi="Constantia"/>
          <w:sz w:val="26"/>
          <w:szCs w:val="26"/>
        </w:rPr>
        <w:t>As long as we are singing as Paul instructed, regardless of our vocal ability, we are pleasing God.</w:t>
      </w:r>
    </w:p>
    <w:p w14:paraId="3B8C73C0" w14:textId="4D3C9E3C" w:rsidR="00623CB0" w:rsidRPr="00623CB0" w:rsidRDefault="00623CB0" w:rsidP="00623CB0">
      <w:pPr>
        <w:pBdr>
          <w:top w:val="thinThickSmallGap" w:sz="24" w:space="1" w:color="C00000"/>
          <w:left w:val="thinThickSmallGap" w:sz="24" w:space="4" w:color="C00000"/>
          <w:bottom w:val="thickThinSmallGap" w:sz="24" w:space="1" w:color="C00000"/>
          <w:right w:val="thickThinSmallGap" w:sz="24" w:space="4" w:color="C00000"/>
        </w:pBdr>
        <w:shd w:val="clear" w:color="auto" w:fill="F3EBF9"/>
        <w:rPr>
          <w:rFonts w:ascii="Constantia" w:hAnsi="Constantia"/>
          <w:sz w:val="26"/>
          <w:szCs w:val="26"/>
        </w:rPr>
      </w:pPr>
      <w:r>
        <w:rPr>
          <w:rFonts w:ascii="Constantia" w:hAnsi="Constantia"/>
          <w:sz w:val="26"/>
          <w:szCs w:val="26"/>
        </w:rPr>
        <w:tab/>
      </w:r>
      <w:r>
        <w:rPr>
          <w:rFonts w:ascii="Constantia" w:hAnsi="Constantia"/>
          <w:sz w:val="26"/>
          <w:szCs w:val="26"/>
        </w:rPr>
        <w:tab/>
      </w:r>
      <w:r w:rsidRPr="00623CB0">
        <w:rPr>
          <w:rFonts w:ascii="Constantia" w:hAnsi="Constantia"/>
          <w:sz w:val="26"/>
          <w:szCs w:val="26"/>
        </w:rPr>
        <w:t xml:space="preserve">We must guard against the tendency to let our preferences and what we perceive to be problems trump the divine pattern. </w:t>
      </w:r>
      <w:r w:rsidR="00FB7251">
        <w:rPr>
          <w:rFonts w:ascii="Constantia" w:hAnsi="Constantia"/>
          <w:sz w:val="26"/>
          <w:szCs w:val="26"/>
        </w:rPr>
        <w:t xml:space="preserve"> </w:t>
      </w:r>
      <w:r w:rsidRPr="00623CB0">
        <w:rPr>
          <w:rFonts w:ascii="Constantia" w:hAnsi="Constantia"/>
          <w:sz w:val="26"/>
          <w:szCs w:val="26"/>
        </w:rPr>
        <w:t>We might prefer to baptize more people, but we must not change the gospel message in order to convert them (</w:t>
      </w:r>
      <w:r w:rsidRPr="00623CB0">
        <w:rPr>
          <w:rFonts w:ascii="Constantia" w:hAnsi="Constantia"/>
          <w:b/>
          <w:color w:val="C00000"/>
          <w:sz w:val="26"/>
          <w:szCs w:val="26"/>
        </w:rPr>
        <w:t>Galatians 1:8-9</w:t>
      </w:r>
      <w:r w:rsidRPr="00623CB0">
        <w:rPr>
          <w:rFonts w:ascii="Constantia" w:hAnsi="Constantia"/>
          <w:sz w:val="26"/>
          <w:szCs w:val="26"/>
        </w:rPr>
        <w:t xml:space="preserve">). </w:t>
      </w:r>
      <w:r w:rsidR="00FB7251">
        <w:rPr>
          <w:rFonts w:ascii="Constantia" w:hAnsi="Constantia"/>
          <w:sz w:val="26"/>
          <w:szCs w:val="26"/>
        </w:rPr>
        <w:t xml:space="preserve"> </w:t>
      </w:r>
      <w:r w:rsidRPr="00623CB0">
        <w:rPr>
          <w:rFonts w:ascii="Constantia" w:hAnsi="Constantia"/>
          <w:sz w:val="26"/>
          <w:szCs w:val="26"/>
        </w:rPr>
        <w:t>We might prefer to spend more time with our brethren, but we must not turn the assembly into a time for common meals (</w:t>
      </w:r>
      <w:r w:rsidRPr="00623CB0">
        <w:rPr>
          <w:rFonts w:ascii="Constantia" w:hAnsi="Constantia"/>
          <w:b/>
          <w:color w:val="C00000"/>
          <w:sz w:val="26"/>
          <w:szCs w:val="26"/>
        </w:rPr>
        <w:t>1 Corinthians 11:22, 34</w:t>
      </w:r>
      <w:r w:rsidRPr="00623CB0">
        <w:rPr>
          <w:rFonts w:ascii="Constantia" w:hAnsi="Constantia"/>
          <w:sz w:val="26"/>
          <w:szCs w:val="26"/>
        </w:rPr>
        <w:t xml:space="preserve">). </w:t>
      </w:r>
      <w:r w:rsidR="00FB7251">
        <w:rPr>
          <w:rFonts w:ascii="Constantia" w:hAnsi="Constantia"/>
          <w:sz w:val="26"/>
          <w:szCs w:val="26"/>
        </w:rPr>
        <w:t xml:space="preserve"> </w:t>
      </w:r>
      <w:r w:rsidRPr="00623CB0">
        <w:rPr>
          <w:rFonts w:ascii="Constantia" w:hAnsi="Constantia"/>
          <w:sz w:val="26"/>
          <w:szCs w:val="26"/>
        </w:rPr>
        <w:t>There are many things we might prefer, but we must first be concerned with what is authorized.</w:t>
      </w:r>
    </w:p>
    <w:p w14:paraId="1641714E" w14:textId="77777777" w:rsidR="00623CB0" w:rsidRPr="00623CB0" w:rsidRDefault="00623CB0" w:rsidP="00623CB0">
      <w:pPr>
        <w:pBdr>
          <w:top w:val="thinThickSmallGap" w:sz="24" w:space="1" w:color="C00000"/>
          <w:left w:val="thinThickSmallGap" w:sz="24" w:space="4" w:color="C00000"/>
          <w:bottom w:val="thickThinSmallGap" w:sz="24" w:space="1" w:color="C00000"/>
          <w:right w:val="thickThinSmallGap" w:sz="24" w:space="4" w:color="C00000"/>
        </w:pBdr>
        <w:shd w:val="clear" w:color="auto" w:fill="F3EBF9"/>
        <w:rPr>
          <w:rFonts w:ascii="Constantia" w:hAnsi="Constantia"/>
          <w:sz w:val="26"/>
          <w:szCs w:val="26"/>
        </w:rPr>
      </w:pPr>
    </w:p>
    <w:p w14:paraId="67A48E08" w14:textId="14649C83" w:rsidR="00623CB0" w:rsidRPr="00623CB0" w:rsidRDefault="00623CB0" w:rsidP="00623CB0">
      <w:pPr>
        <w:pBdr>
          <w:top w:val="thinThickSmallGap" w:sz="24" w:space="1" w:color="C00000"/>
          <w:left w:val="thinThickSmallGap" w:sz="24" w:space="4" w:color="C00000"/>
          <w:bottom w:val="thickThinSmallGap" w:sz="24" w:space="1" w:color="C00000"/>
          <w:right w:val="thickThinSmallGap" w:sz="24" w:space="4" w:color="C00000"/>
        </w:pBdr>
        <w:shd w:val="clear" w:color="auto" w:fill="F3EBF9"/>
        <w:jc w:val="center"/>
        <w:rPr>
          <w:rFonts w:ascii="Constantia" w:hAnsi="Constantia"/>
          <w:b/>
          <w:color w:val="C00000"/>
          <w:sz w:val="28"/>
          <w:szCs w:val="28"/>
          <w:u w:val="single"/>
        </w:rPr>
      </w:pPr>
      <w:r w:rsidRPr="00623CB0">
        <w:rPr>
          <w:rFonts w:ascii="Constantia" w:hAnsi="Constantia"/>
          <w:b/>
          <w:color w:val="C00000"/>
          <w:sz w:val="28"/>
          <w:szCs w:val="28"/>
          <w:u w:val="single"/>
        </w:rPr>
        <w:t xml:space="preserve">Gradual </w:t>
      </w:r>
      <w:r>
        <w:rPr>
          <w:rFonts w:ascii="Constantia" w:hAnsi="Constantia"/>
          <w:b/>
          <w:color w:val="C00000"/>
          <w:sz w:val="28"/>
          <w:szCs w:val="28"/>
          <w:u w:val="single"/>
        </w:rPr>
        <w:t>Slide I</w:t>
      </w:r>
      <w:r w:rsidRPr="00623CB0">
        <w:rPr>
          <w:rFonts w:ascii="Constantia" w:hAnsi="Constantia"/>
          <w:b/>
          <w:color w:val="C00000"/>
          <w:sz w:val="28"/>
          <w:szCs w:val="28"/>
          <w:u w:val="single"/>
        </w:rPr>
        <w:t>nto Apostasy</w:t>
      </w:r>
    </w:p>
    <w:p w14:paraId="2EE9BACC" w14:textId="500E8E1B" w:rsidR="00623CB0" w:rsidRDefault="00623CB0" w:rsidP="00623CB0">
      <w:pPr>
        <w:pBdr>
          <w:top w:val="thinThickSmallGap" w:sz="24" w:space="1" w:color="C00000"/>
          <w:left w:val="thinThickSmallGap" w:sz="24" w:space="4" w:color="C00000"/>
          <w:bottom w:val="thickThinSmallGap" w:sz="24" w:space="1" w:color="C00000"/>
          <w:right w:val="thickThinSmallGap" w:sz="24" w:space="4" w:color="C00000"/>
        </w:pBdr>
        <w:shd w:val="clear" w:color="auto" w:fill="F3EBF9"/>
        <w:rPr>
          <w:rFonts w:ascii="Constantia" w:hAnsi="Constantia"/>
          <w:sz w:val="8"/>
          <w:szCs w:val="8"/>
        </w:rPr>
      </w:pPr>
      <w:r>
        <w:rPr>
          <w:rFonts w:ascii="Constantia" w:hAnsi="Constantia"/>
          <w:sz w:val="26"/>
          <w:szCs w:val="26"/>
        </w:rPr>
        <w:tab/>
      </w:r>
      <w:r>
        <w:rPr>
          <w:rFonts w:ascii="Constantia" w:hAnsi="Constantia"/>
          <w:sz w:val="26"/>
          <w:szCs w:val="26"/>
        </w:rPr>
        <w:tab/>
      </w:r>
      <w:r w:rsidRPr="00623CB0">
        <w:rPr>
          <w:rFonts w:ascii="Constantia" w:hAnsi="Constantia"/>
          <w:sz w:val="26"/>
          <w:szCs w:val="26"/>
        </w:rPr>
        <w:t xml:space="preserve">The answer to the congregation’s poor singing was not immediately to bring an instrument into the assembly. </w:t>
      </w:r>
      <w:r w:rsidR="00FB7251">
        <w:rPr>
          <w:rFonts w:ascii="Constantia" w:hAnsi="Constantia"/>
          <w:sz w:val="26"/>
          <w:szCs w:val="26"/>
        </w:rPr>
        <w:t xml:space="preserve"> </w:t>
      </w:r>
      <w:r w:rsidRPr="00623CB0">
        <w:rPr>
          <w:rFonts w:ascii="Constantia" w:hAnsi="Constantia"/>
          <w:sz w:val="26"/>
          <w:szCs w:val="26"/>
        </w:rPr>
        <w:t xml:space="preserve">Instead, the first step toward apostasy was an innocent one. </w:t>
      </w:r>
      <w:r w:rsidR="00FB7251">
        <w:rPr>
          <w:rFonts w:ascii="Constantia" w:hAnsi="Constantia"/>
          <w:sz w:val="26"/>
          <w:szCs w:val="26"/>
        </w:rPr>
        <w:t xml:space="preserve"> </w:t>
      </w:r>
      <w:r w:rsidRPr="00623CB0">
        <w:rPr>
          <w:rFonts w:ascii="Constantia" w:hAnsi="Constantia"/>
          <w:sz w:val="26"/>
          <w:szCs w:val="26"/>
        </w:rPr>
        <w:t xml:space="preserve">Some of the brethren would meet together in their homes to practice singing. </w:t>
      </w:r>
      <w:r w:rsidR="00FB7251">
        <w:rPr>
          <w:rFonts w:ascii="Constantia" w:hAnsi="Constantia"/>
          <w:sz w:val="26"/>
          <w:szCs w:val="26"/>
        </w:rPr>
        <w:t xml:space="preserve"> </w:t>
      </w:r>
      <w:r w:rsidRPr="00623CB0">
        <w:rPr>
          <w:rFonts w:ascii="Constantia" w:hAnsi="Constantia"/>
          <w:sz w:val="26"/>
          <w:szCs w:val="26"/>
        </w:rPr>
        <w:t xml:space="preserve">Then they decided to use a melodeon that was in the home in which there were meeting to get the right pitch (like we might use a pitch pipe today). </w:t>
      </w:r>
      <w:r w:rsidR="00FB7251">
        <w:rPr>
          <w:rFonts w:ascii="Constantia" w:hAnsi="Constantia"/>
          <w:sz w:val="26"/>
          <w:szCs w:val="26"/>
        </w:rPr>
        <w:t xml:space="preserve"> </w:t>
      </w:r>
      <w:r w:rsidRPr="00623CB0">
        <w:rPr>
          <w:rFonts w:ascii="Constantia" w:hAnsi="Constantia"/>
          <w:sz w:val="26"/>
          <w:szCs w:val="26"/>
        </w:rPr>
        <w:t>Then the small steps continued.</w:t>
      </w:r>
      <w:r w:rsidR="00FB7251">
        <w:rPr>
          <w:rFonts w:ascii="Constantia" w:hAnsi="Constantia"/>
          <w:sz w:val="26"/>
          <w:szCs w:val="26"/>
        </w:rPr>
        <w:t xml:space="preserve">  </w:t>
      </w:r>
      <w:r w:rsidRPr="00623CB0">
        <w:rPr>
          <w:rFonts w:ascii="Constantia" w:hAnsi="Constantia"/>
          <w:sz w:val="26"/>
          <w:szCs w:val="26"/>
        </w:rPr>
        <w:t>They went from using the instrument to get the starting pitch to having one of the women accompa</w:t>
      </w:r>
      <w:r w:rsidR="00FB7251">
        <w:rPr>
          <w:rFonts w:ascii="Constantia" w:hAnsi="Constantia"/>
          <w:sz w:val="26"/>
          <w:szCs w:val="26"/>
        </w:rPr>
        <w:t>ny the singing of psalms, hymns</w:t>
      </w:r>
      <w:r w:rsidRPr="00623CB0">
        <w:rPr>
          <w:rFonts w:ascii="Constantia" w:hAnsi="Constantia"/>
          <w:sz w:val="26"/>
          <w:szCs w:val="26"/>
        </w:rPr>
        <w:t xml:space="preserve"> and spiritual songs by playing the instrument. </w:t>
      </w:r>
      <w:r w:rsidR="00FB7251">
        <w:rPr>
          <w:rFonts w:ascii="Constantia" w:hAnsi="Constantia"/>
          <w:sz w:val="26"/>
          <w:szCs w:val="26"/>
        </w:rPr>
        <w:t xml:space="preserve"> </w:t>
      </w:r>
      <w:r w:rsidRPr="00623CB0">
        <w:rPr>
          <w:rFonts w:ascii="Constantia" w:hAnsi="Constantia"/>
          <w:sz w:val="26"/>
          <w:szCs w:val="26"/>
        </w:rPr>
        <w:t xml:space="preserve">They noticed that the accompaniment improved their singing, so they decided </w:t>
      </w:r>
      <w:r>
        <w:rPr>
          <w:rFonts w:ascii="Constantia" w:hAnsi="Constantia"/>
          <w:sz w:val="26"/>
          <w:szCs w:val="26"/>
        </w:rPr>
        <w:t xml:space="preserve">to bring it into their assembly.  </w:t>
      </w:r>
      <w:r>
        <w:rPr>
          <w:rFonts w:ascii="Constantia" w:hAnsi="Constantia"/>
          <w:sz w:val="26"/>
          <w:szCs w:val="26"/>
        </w:rPr>
        <w:tab/>
      </w:r>
      <w:r>
        <w:rPr>
          <w:rFonts w:ascii="Constantia" w:hAnsi="Constantia"/>
          <w:sz w:val="26"/>
          <w:szCs w:val="26"/>
        </w:rPr>
        <w:tab/>
      </w:r>
      <w:bookmarkStart w:id="0" w:name="_GoBack"/>
      <w:bookmarkEnd w:id="0"/>
      <w:r>
        <w:rPr>
          <w:rFonts w:ascii="Constantia" w:hAnsi="Constantia"/>
          <w:sz w:val="26"/>
          <w:szCs w:val="26"/>
        </w:rPr>
        <w:tab/>
      </w:r>
      <w:r>
        <w:rPr>
          <w:rFonts w:ascii="Constantia" w:hAnsi="Constantia"/>
          <w:sz w:val="26"/>
          <w:szCs w:val="26"/>
        </w:rPr>
        <w:tab/>
      </w:r>
      <w:r>
        <w:rPr>
          <w:rFonts w:ascii="Constantia" w:hAnsi="Constantia"/>
          <w:sz w:val="26"/>
          <w:szCs w:val="26"/>
        </w:rPr>
        <w:tab/>
      </w:r>
      <w:r>
        <w:rPr>
          <w:rFonts w:ascii="Constantia" w:hAnsi="Constantia"/>
          <w:sz w:val="26"/>
          <w:szCs w:val="26"/>
        </w:rPr>
        <w:tab/>
      </w:r>
      <w:r>
        <w:rPr>
          <w:rFonts w:ascii="Constantia" w:hAnsi="Constantia"/>
          <w:sz w:val="26"/>
          <w:szCs w:val="26"/>
        </w:rPr>
        <w:tab/>
      </w:r>
      <w:r>
        <w:rPr>
          <w:rFonts w:ascii="Constantia" w:hAnsi="Constantia"/>
          <w:sz w:val="26"/>
          <w:szCs w:val="26"/>
        </w:rPr>
        <w:tab/>
      </w:r>
      <w:r>
        <w:rPr>
          <w:rFonts w:ascii="Constantia" w:hAnsi="Constantia"/>
          <w:sz w:val="26"/>
          <w:szCs w:val="26"/>
        </w:rPr>
        <w:tab/>
      </w:r>
      <w:r>
        <w:rPr>
          <w:rFonts w:ascii="Constantia" w:hAnsi="Constantia"/>
          <w:sz w:val="26"/>
          <w:szCs w:val="26"/>
        </w:rPr>
        <w:tab/>
      </w:r>
      <w:r>
        <w:rPr>
          <w:rFonts w:ascii="Constantia" w:hAnsi="Constantia"/>
          <w:sz w:val="26"/>
          <w:szCs w:val="26"/>
        </w:rPr>
        <w:tab/>
      </w:r>
      <w:r>
        <w:rPr>
          <w:rFonts w:ascii="Constantia" w:hAnsi="Constantia"/>
          <w:sz w:val="26"/>
          <w:szCs w:val="26"/>
        </w:rPr>
        <w:tab/>
      </w:r>
      <w:r>
        <w:rPr>
          <w:rFonts w:ascii="Constantia" w:hAnsi="Constantia"/>
          <w:sz w:val="26"/>
          <w:szCs w:val="26"/>
        </w:rPr>
        <w:tab/>
        <w:t xml:space="preserve">        (Part #2 – next week, Lord willing)</w:t>
      </w:r>
    </w:p>
    <w:p w14:paraId="28A106D8" w14:textId="77777777" w:rsidR="00623CB0" w:rsidRPr="00623CB0" w:rsidRDefault="00623CB0" w:rsidP="00623CB0">
      <w:pPr>
        <w:pBdr>
          <w:top w:val="thinThickSmallGap" w:sz="24" w:space="1" w:color="C00000"/>
          <w:left w:val="thinThickSmallGap" w:sz="24" w:space="4" w:color="C00000"/>
          <w:bottom w:val="thickThinSmallGap" w:sz="24" w:space="1" w:color="C00000"/>
          <w:right w:val="thickThinSmallGap" w:sz="24" w:space="4" w:color="C00000"/>
        </w:pBdr>
        <w:shd w:val="clear" w:color="auto" w:fill="EDE2F6"/>
        <w:rPr>
          <w:rFonts w:ascii="Constantia" w:hAnsi="Constantia"/>
          <w:sz w:val="8"/>
          <w:szCs w:val="8"/>
        </w:rPr>
      </w:pPr>
    </w:p>
    <w:p w14:paraId="6823B326" w14:textId="77777777" w:rsidR="00623CB0" w:rsidRDefault="00623CB0" w:rsidP="00623CB0"/>
    <w:sectPr w:rsidR="00623CB0" w:rsidSect="00623CB0">
      <w:headerReference w:type="default" r:id="rId8"/>
      <w:footerReference w:type="default" r:id="rId9"/>
      <w:pgSz w:w="12240" w:h="15840"/>
      <w:pgMar w:top="864" w:right="1440" w:bottom="9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12ED0" w14:textId="77777777" w:rsidR="00F63124" w:rsidRDefault="00F63124" w:rsidP="00662F5F">
      <w:r>
        <w:separator/>
      </w:r>
    </w:p>
  </w:endnote>
  <w:endnote w:type="continuationSeparator" w:id="0">
    <w:p w14:paraId="6D5980C9" w14:textId="77777777" w:rsidR="00F63124" w:rsidRDefault="00F63124" w:rsidP="0066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444823"/>
      <w:docPartObj>
        <w:docPartGallery w:val="Page Numbers (Bottom of Page)"/>
        <w:docPartUnique/>
      </w:docPartObj>
    </w:sdtPr>
    <w:sdtEndPr>
      <w:rPr>
        <w:noProof/>
      </w:rPr>
    </w:sdtEndPr>
    <w:sdtContent>
      <w:p w14:paraId="45401708" w14:textId="610ABD05" w:rsidR="00662F5F" w:rsidRDefault="00662F5F">
        <w:pPr>
          <w:pStyle w:val="Footer"/>
          <w:jc w:val="right"/>
        </w:pPr>
        <w:r>
          <w:fldChar w:fldCharType="begin"/>
        </w:r>
        <w:r>
          <w:instrText xml:space="preserve"> PAGE   \* MERGEFORMAT </w:instrText>
        </w:r>
        <w:r>
          <w:fldChar w:fldCharType="separate"/>
        </w:r>
        <w:r w:rsidR="003C628D">
          <w:rPr>
            <w:noProof/>
          </w:rPr>
          <w:t>2</w:t>
        </w:r>
        <w:r>
          <w:rPr>
            <w:noProof/>
          </w:rPr>
          <w:fldChar w:fldCharType="end"/>
        </w:r>
      </w:p>
    </w:sdtContent>
  </w:sdt>
  <w:p w14:paraId="4854FFB7" w14:textId="77777777" w:rsidR="00662F5F" w:rsidRDefault="00662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8BA6F" w14:textId="77777777" w:rsidR="00F63124" w:rsidRDefault="00F63124" w:rsidP="00662F5F">
      <w:r>
        <w:separator/>
      </w:r>
    </w:p>
  </w:footnote>
  <w:footnote w:type="continuationSeparator" w:id="0">
    <w:p w14:paraId="35FFA0D3" w14:textId="77777777" w:rsidR="00F63124" w:rsidRDefault="00F63124" w:rsidP="00662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4E5DE" w14:textId="45E9349E" w:rsidR="00662F5F" w:rsidRPr="00662F5F" w:rsidRDefault="00662F5F">
    <w:pPr>
      <w:pStyle w:val="Header"/>
      <w:rPr>
        <w:rFonts w:ascii="Times New Roman" w:hAnsi="Times New Roman" w:cs="Times New Roman"/>
        <w:b/>
        <w:sz w:val="20"/>
        <w:szCs w:val="20"/>
      </w:rPr>
    </w:pPr>
    <w:r w:rsidRPr="00662F5F">
      <w:rPr>
        <w:rFonts w:ascii="Times New Roman" w:hAnsi="Times New Roman" w:cs="Times New Roman"/>
        <w:b/>
        <w:sz w:val="20"/>
        <w:szCs w:val="20"/>
      </w:rPr>
      <w:t>Authority For Religion: Of God Or Of Men?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65"/>
    <w:rsid w:val="0008450B"/>
    <w:rsid w:val="001130F4"/>
    <w:rsid w:val="001977D0"/>
    <w:rsid w:val="001D14DB"/>
    <w:rsid w:val="001D5631"/>
    <w:rsid w:val="00253EFD"/>
    <w:rsid w:val="003C628D"/>
    <w:rsid w:val="003E075E"/>
    <w:rsid w:val="004262DB"/>
    <w:rsid w:val="004924EE"/>
    <w:rsid w:val="00510560"/>
    <w:rsid w:val="005A473B"/>
    <w:rsid w:val="00623CB0"/>
    <w:rsid w:val="00662F5F"/>
    <w:rsid w:val="00870564"/>
    <w:rsid w:val="008B4121"/>
    <w:rsid w:val="00A14FB8"/>
    <w:rsid w:val="00A865CB"/>
    <w:rsid w:val="00AB5513"/>
    <w:rsid w:val="00BB2C65"/>
    <w:rsid w:val="00C53B73"/>
    <w:rsid w:val="00D44679"/>
    <w:rsid w:val="00D71483"/>
    <w:rsid w:val="00DB416E"/>
    <w:rsid w:val="00F63124"/>
    <w:rsid w:val="00FB7251"/>
    <w:rsid w:val="00FC4776"/>
    <w:rsid w:val="00FD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F5F"/>
    <w:pPr>
      <w:tabs>
        <w:tab w:val="center" w:pos="4680"/>
        <w:tab w:val="right" w:pos="9360"/>
      </w:tabs>
    </w:pPr>
  </w:style>
  <w:style w:type="character" w:customStyle="1" w:styleId="HeaderChar">
    <w:name w:val="Header Char"/>
    <w:basedOn w:val="DefaultParagraphFont"/>
    <w:link w:val="Header"/>
    <w:uiPriority w:val="99"/>
    <w:rsid w:val="00662F5F"/>
  </w:style>
  <w:style w:type="paragraph" w:styleId="Footer">
    <w:name w:val="footer"/>
    <w:basedOn w:val="Normal"/>
    <w:link w:val="FooterChar"/>
    <w:uiPriority w:val="99"/>
    <w:unhideWhenUsed/>
    <w:rsid w:val="00662F5F"/>
    <w:pPr>
      <w:tabs>
        <w:tab w:val="center" w:pos="4680"/>
        <w:tab w:val="right" w:pos="9360"/>
      </w:tabs>
    </w:pPr>
  </w:style>
  <w:style w:type="character" w:customStyle="1" w:styleId="FooterChar">
    <w:name w:val="Footer Char"/>
    <w:basedOn w:val="DefaultParagraphFont"/>
    <w:link w:val="Footer"/>
    <w:uiPriority w:val="99"/>
    <w:rsid w:val="00662F5F"/>
  </w:style>
  <w:style w:type="paragraph" w:styleId="BalloonText">
    <w:name w:val="Balloon Text"/>
    <w:basedOn w:val="Normal"/>
    <w:link w:val="BalloonTextChar"/>
    <w:uiPriority w:val="99"/>
    <w:semiHidden/>
    <w:unhideWhenUsed/>
    <w:rsid w:val="00662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5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F5F"/>
    <w:pPr>
      <w:tabs>
        <w:tab w:val="center" w:pos="4680"/>
        <w:tab w:val="right" w:pos="9360"/>
      </w:tabs>
    </w:pPr>
  </w:style>
  <w:style w:type="character" w:customStyle="1" w:styleId="HeaderChar">
    <w:name w:val="Header Char"/>
    <w:basedOn w:val="DefaultParagraphFont"/>
    <w:link w:val="Header"/>
    <w:uiPriority w:val="99"/>
    <w:rsid w:val="00662F5F"/>
  </w:style>
  <w:style w:type="paragraph" w:styleId="Footer">
    <w:name w:val="footer"/>
    <w:basedOn w:val="Normal"/>
    <w:link w:val="FooterChar"/>
    <w:uiPriority w:val="99"/>
    <w:unhideWhenUsed/>
    <w:rsid w:val="00662F5F"/>
    <w:pPr>
      <w:tabs>
        <w:tab w:val="center" w:pos="4680"/>
        <w:tab w:val="right" w:pos="9360"/>
      </w:tabs>
    </w:pPr>
  </w:style>
  <w:style w:type="character" w:customStyle="1" w:styleId="FooterChar">
    <w:name w:val="Footer Char"/>
    <w:basedOn w:val="DefaultParagraphFont"/>
    <w:link w:val="Footer"/>
    <w:uiPriority w:val="99"/>
    <w:rsid w:val="00662F5F"/>
  </w:style>
  <w:style w:type="paragraph" w:styleId="BalloonText">
    <w:name w:val="Balloon Text"/>
    <w:basedOn w:val="Normal"/>
    <w:link w:val="BalloonTextChar"/>
    <w:uiPriority w:val="99"/>
    <w:semiHidden/>
    <w:unhideWhenUsed/>
    <w:rsid w:val="00662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2021-06-07T20:27:00Z</cp:lastPrinted>
  <dcterms:created xsi:type="dcterms:W3CDTF">2021-06-07T20:38:00Z</dcterms:created>
  <dcterms:modified xsi:type="dcterms:W3CDTF">2021-06-07T20:38:00Z</dcterms:modified>
</cp:coreProperties>
</file>